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1E1BB" w14:textId="12EF1DD3" w:rsidR="001438A1" w:rsidRPr="005E2F19" w:rsidRDefault="001438A1" w:rsidP="001438A1">
      <w:pPr>
        <w:rPr>
          <w:b/>
          <w:sz w:val="20"/>
          <w:szCs w:val="20"/>
          <w:u w:val="single"/>
        </w:rPr>
      </w:pPr>
      <w:bookmarkStart w:id="0" w:name="_GoBack"/>
      <w:bookmarkEnd w:id="0"/>
      <w:r w:rsidRPr="005E2F19">
        <w:rPr>
          <w:b/>
          <w:sz w:val="20"/>
          <w:szCs w:val="20"/>
          <w:u w:val="single"/>
        </w:rPr>
        <w:t>What is an Investigational</w:t>
      </w:r>
      <w:r w:rsidR="008300AB" w:rsidRPr="005E2F19">
        <w:rPr>
          <w:b/>
          <w:sz w:val="20"/>
          <w:szCs w:val="20"/>
          <w:u w:val="single"/>
        </w:rPr>
        <w:t xml:space="preserve"> </w:t>
      </w:r>
      <w:r w:rsidRPr="005E2F19">
        <w:rPr>
          <w:b/>
          <w:sz w:val="20"/>
          <w:szCs w:val="20"/>
          <w:u w:val="single"/>
        </w:rPr>
        <w:t>Device?</w:t>
      </w:r>
    </w:p>
    <w:p w14:paraId="345DAB71" w14:textId="458AFD69" w:rsidR="001438A1" w:rsidRPr="005E2F19" w:rsidRDefault="004C519B" w:rsidP="001438A1">
      <w:pPr>
        <w:rPr>
          <w:sz w:val="20"/>
          <w:szCs w:val="20"/>
        </w:rPr>
      </w:pPr>
      <w:r w:rsidRPr="005E2F19">
        <w:rPr>
          <w:sz w:val="20"/>
          <w:szCs w:val="20"/>
        </w:rPr>
        <w:t xml:space="preserve">An investigational device is a medical device which is the subject of a clinical study designed to evaluate the effectiveness and/or safety of the device. </w:t>
      </w:r>
      <w:r w:rsidR="001438A1" w:rsidRPr="005E2F19">
        <w:rPr>
          <w:sz w:val="20"/>
          <w:szCs w:val="20"/>
        </w:rPr>
        <w:t>A device is considered investigational if either condition applies:</w:t>
      </w:r>
    </w:p>
    <w:p w14:paraId="0886CFFE" w14:textId="77777777" w:rsidR="001438A1" w:rsidRPr="005E2F19" w:rsidRDefault="001438A1" w:rsidP="001438A1">
      <w:pPr>
        <w:numPr>
          <w:ilvl w:val="0"/>
          <w:numId w:val="16"/>
        </w:numPr>
        <w:contextualSpacing/>
        <w:rPr>
          <w:sz w:val="20"/>
          <w:szCs w:val="20"/>
        </w:rPr>
      </w:pPr>
      <w:r w:rsidRPr="005E2F19">
        <w:rPr>
          <w:sz w:val="20"/>
          <w:szCs w:val="20"/>
        </w:rPr>
        <w:t xml:space="preserve">The device is not approved for marketing in the U.S. </w:t>
      </w:r>
      <w:r w:rsidRPr="005E2F19">
        <w:rPr>
          <w:i/>
          <w:sz w:val="20"/>
          <w:szCs w:val="20"/>
        </w:rPr>
        <w:t>or</w:t>
      </w:r>
    </w:p>
    <w:p w14:paraId="36E5F0C1" w14:textId="77777777" w:rsidR="001438A1" w:rsidRPr="005E2F19" w:rsidRDefault="001438A1" w:rsidP="001438A1">
      <w:pPr>
        <w:numPr>
          <w:ilvl w:val="0"/>
          <w:numId w:val="16"/>
        </w:numPr>
        <w:contextualSpacing/>
        <w:rPr>
          <w:sz w:val="20"/>
          <w:szCs w:val="20"/>
        </w:rPr>
      </w:pPr>
      <w:r w:rsidRPr="005E2F19">
        <w:rPr>
          <w:sz w:val="20"/>
          <w:szCs w:val="20"/>
        </w:rPr>
        <w:t>The device is approved for marketing but is being </w:t>
      </w:r>
      <w:r w:rsidRPr="005E2F19">
        <w:rPr>
          <w:i/>
          <w:iCs/>
          <w:sz w:val="20"/>
          <w:szCs w:val="20"/>
        </w:rPr>
        <w:t>clinically</w:t>
      </w:r>
      <w:r w:rsidRPr="005E2F19">
        <w:rPr>
          <w:sz w:val="20"/>
          <w:szCs w:val="20"/>
        </w:rPr>
        <w:t> evaluated for a new indication.</w:t>
      </w:r>
    </w:p>
    <w:p w14:paraId="13B30AEF" w14:textId="77777777" w:rsidR="00360E68" w:rsidRPr="005E2F19" w:rsidRDefault="00360E68" w:rsidP="00360E68">
      <w:pPr>
        <w:spacing w:line="240" w:lineRule="auto"/>
        <w:contextualSpacing/>
        <w:rPr>
          <w:sz w:val="20"/>
          <w:szCs w:val="20"/>
        </w:rPr>
      </w:pPr>
    </w:p>
    <w:p w14:paraId="2E51FFC5" w14:textId="09249402" w:rsidR="001438A1" w:rsidRPr="005E2F19" w:rsidRDefault="001438A1" w:rsidP="001438A1">
      <w:pPr>
        <w:rPr>
          <w:sz w:val="20"/>
          <w:szCs w:val="20"/>
        </w:rPr>
      </w:pPr>
      <w:r w:rsidRPr="005E2F19">
        <w:rPr>
          <w:sz w:val="20"/>
          <w:szCs w:val="20"/>
        </w:rPr>
        <w:t>The </w:t>
      </w:r>
      <w:hyperlink r:id="rId8" w:tgtFrame="_blank" w:history="1">
        <w:r w:rsidRPr="005E2F19">
          <w:rPr>
            <w:rStyle w:val="Hyperlink"/>
            <w:sz w:val="20"/>
            <w:szCs w:val="20"/>
          </w:rPr>
          <w:t>Food and Drug Administration (FDA)</w:t>
        </w:r>
      </w:hyperlink>
      <w:r w:rsidRPr="005E2F19">
        <w:rPr>
          <w:sz w:val="20"/>
          <w:szCs w:val="20"/>
        </w:rPr>
        <w:t> regulates research involving medical devices (</w:t>
      </w:r>
      <w:hyperlink r:id="rId9" w:tgtFrame="_blank" w:history="1">
        <w:r w:rsidRPr="005E2F19">
          <w:rPr>
            <w:rStyle w:val="Hyperlink"/>
            <w:sz w:val="20"/>
            <w:szCs w:val="20"/>
          </w:rPr>
          <w:t>see FDA definition</w:t>
        </w:r>
      </w:hyperlink>
      <w:r w:rsidRPr="005E2F19">
        <w:rPr>
          <w:sz w:val="20"/>
          <w:szCs w:val="20"/>
        </w:rPr>
        <w:t>), as well as all aspects of device manufacturing, marketing</w:t>
      </w:r>
      <w:r w:rsidR="00625B91">
        <w:rPr>
          <w:sz w:val="20"/>
          <w:szCs w:val="20"/>
        </w:rPr>
        <w:t>,</w:t>
      </w:r>
      <w:r w:rsidRPr="005E2F19">
        <w:rPr>
          <w:sz w:val="20"/>
          <w:szCs w:val="20"/>
        </w:rPr>
        <w:t xml:space="preserve"> and distribution (</w:t>
      </w:r>
      <w:r w:rsidRPr="005E2F19">
        <w:rPr>
          <w:i/>
          <w:iCs/>
          <w:sz w:val="20"/>
          <w:szCs w:val="20"/>
        </w:rPr>
        <w:t>Code of Federal Regulations</w:t>
      </w:r>
      <w:r w:rsidRPr="005E2F19">
        <w:rPr>
          <w:sz w:val="20"/>
          <w:szCs w:val="20"/>
        </w:rPr>
        <w:t xml:space="preserve"> Title 21, parts 800-1299). The FDA website contains several sets of useful and readable guidance documents about investigational devices, including </w:t>
      </w:r>
      <w:hyperlink r:id="rId10" w:history="1">
        <w:r w:rsidRPr="005E2F19">
          <w:rPr>
            <w:rStyle w:val="Hyperlink"/>
            <w:sz w:val="20"/>
            <w:szCs w:val="20"/>
          </w:rPr>
          <w:t>general wellness</w:t>
        </w:r>
      </w:hyperlink>
      <w:r w:rsidR="00976E65" w:rsidRPr="005E2F19">
        <w:rPr>
          <w:sz w:val="20"/>
          <w:szCs w:val="20"/>
        </w:rPr>
        <w:t xml:space="preserve"> devices</w:t>
      </w:r>
      <w:r w:rsidRPr="005E2F19">
        <w:rPr>
          <w:sz w:val="20"/>
          <w:szCs w:val="20"/>
        </w:rPr>
        <w:t xml:space="preserve"> and </w:t>
      </w:r>
      <w:hyperlink r:id="rId11" w:history="1">
        <w:r w:rsidR="00976E65" w:rsidRPr="005E2F19">
          <w:rPr>
            <w:rStyle w:val="Hyperlink"/>
            <w:sz w:val="20"/>
            <w:szCs w:val="20"/>
          </w:rPr>
          <w:t>mobile medical applications</w:t>
        </w:r>
      </w:hyperlink>
      <w:r w:rsidRPr="005E2F19">
        <w:rPr>
          <w:sz w:val="20"/>
          <w:szCs w:val="20"/>
        </w:rPr>
        <w:t>.</w:t>
      </w:r>
    </w:p>
    <w:p w14:paraId="1B24BD9D" w14:textId="77777777" w:rsidR="001438A1" w:rsidRPr="005E2F19" w:rsidRDefault="001438A1" w:rsidP="001438A1">
      <w:pPr>
        <w:rPr>
          <w:b/>
          <w:sz w:val="20"/>
          <w:szCs w:val="20"/>
          <w:u w:val="single"/>
        </w:rPr>
      </w:pPr>
      <w:r w:rsidRPr="005E2F19">
        <w:rPr>
          <w:b/>
          <w:sz w:val="20"/>
          <w:szCs w:val="20"/>
          <w:u w:val="single"/>
        </w:rPr>
        <w:t>IRB Submission and Reporting Requirements</w:t>
      </w:r>
    </w:p>
    <w:p w14:paraId="73D4400A" w14:textId="77777777" w:rsidR="001438A1" w:rsidRPr="005E2F19" w:rsidRDefault="000E2C07" w:rsidP="006217F3">
      <w:pPr>
        <w:rPr>
          <w:sz w:val="20"/>
          <w:szCs w:val="20"/>
        </w:rPr>
      </w:pPr>
      <w:r w:rsidRPr="005E2F19">
        <w:rPr>
          <w:sz w:val="20"/>
          <w:szCs w:val="20"/>
        </w:rPr>
        <w:t>If your study involves a device, you must provide information about the device in the IRB Application and consent form, and submit</w:t>
      </w:r>
      <w:r w:rsidR="00FD2197" w:rsidRPr="005E2F19">
        <w:rPr>
          <w:sz w:val="20"/>
          <w:szCs w:val="20"/>
        </w:rPr>
        <w:t xml:space="preserve"> any</w:t>
      </w:r>
      <w:r w:rsidRPr="005E2F19">
        <w:rPr>
          <w:sz w:val="20"/>
          <w:szCs w:val="20"/>
        </w:rPr>
        <w:t xml:space="preserve"> </w:t>
      </w:r>
      <w:r w:rsidR="00FD2197" w:rsidRPr="005E2F19">
        <w:rPr>
          <w:sz w:val="20"/>
          <w:szCs w:val="20"/>
        </w:rPr>
        <w:t>applicable</w:t>
      </w:r>
      <w:r w:rsidRPr="005E2F19">
        <w:rPr>
          <w:sz w:val="20"/>
          <w:szCs w:val="20"/>
        </w:rPr>
        <w:t xml:space="preserve"> supporting documents</w:t>
      </w:r>
      <w:r w:rsidR="001438A1" w:rsidRPr="005E2F19">
        <w:rPr>
          <w:sz w:val="20"/>
          <w:szCs w:val="20"/>
        </w:rPr>
        <w:t>*</w:t>
      </w:r>
      <w:r w:rsidRPr="005E2F19">
        <w:rPr>
          <w:sz w:val="20"/>
          <w:szCs w:val="20"/>
        </w:rPr>
        <w:t>.</w:t>
      </w:r>
      <w:r w:rsidR="0036011B" w:rsidRPr="005E2F19">
        <w:rPr>
          <w:sz w:val="20"/>
          <w:szCs w:val="20"/>
        </w:rPr>
        <w:t xml:space="preserve"> </w:t>
      </w:r>
    </w:p>
    <w:p w14:paraId="2DE5E7EC" w14:textId="34C313EF" w:rsidR="000E2C07" w:rsidRPr="005E2F19" w:rsidRDefault="0036011B" w:rsidP="006217F3">
      <w:pPr>
        <w:rPr>
          <w:sz w:val="20"/>
          <w:szCs w:val="20"/>
        </w:rPr>
      </w:pPr>
      <w:r w:rsidRPr="005E2F19">
        <w:rPr>
          <w:sz w:val="20"/>
          <w:szCs w:val="20"/>
        </w:rPr>
        <w:t xml:space="preserve">For those studies </w:t>
      </w:r>
      <w:r w:rsidR="006217F3" w:rsidRPr="005E2F19">
        <w:rPr>
          <w:sz w:val="20"/>
          <w:szCs w:val="20"/>
        </w:rPr>
        <w:t xml:space="preserve">involving </w:t>
      </w:r>
      <w:r w:rsidR="006217F3" w:rsidRPr="005E2F19">
        <w:rPr>
          <w:noProof/>
          <w:sz w:val="20"/>
          <w:szCs w:val="20"/>
        </w:rPr>
        <w:t>use</w:t>
      </w:r>
      <w:r w:rsidR="006217F3" w:rsidRPr="005E2F19">
        <w:rPr>
          <w:sz w:val="20"/>
          <w:szCs w:val="20"/>
        </w:rPr>
        <w:t xml:space="preserve"> of an </w:t>
      </w:r>
      <w:r w:rsidR="006217F3" w:rsidRPr="005E2F19">
        <w:rPr>
          <w:b/>
          <w:sz w:val="20"/>
          <w:szCs w:val="20"/>
        </w:rPr>
        <w:t>investigational device</w:t>
      </w:r>
      <w:r w:rsidR="006217F3" w:rsidRPr="005E2F19">
        <w:rPr>
          <w:sz w:val="20"/>
          <w:szCs w:val="20"/>
        </w:rPr>
        <w:t>, the investigator (or sponsor) must obtain e</w:t>
      </w:r>
      <w:r w:rsidR="00FE4745" w:rsidRPr="005E2F19">
        <w:rPr>
          <w:sz w:val="20"/>
          <w:szCs w:val="20"/>
        </w:rPr>
        <w:t>ither</w:t>
      </w:r>
      <w:r w:rsidR="000E2C07" w:rsidRPr="005E2F19">
        <w:rPr>
          <w:sz w:val="20"/>
          <w:szCs w:val="20"/>
        </w:rPr>
        <w:t>:</w:t>
      </w:r>
    </w:p>
    <w:p w14:paraId="0FC0C7A0" w14:textId="7F4C5882" w:rsidR="000E2C07" w:rsidRPr="005E2F19" w:rsidRDefault="000E2C07" w:rsidP="000E2C07">
      <w:pPr>
        <w:pStyle w:val="ListParagraph"/>
        <w:numPr>
          <w:ilvl w:val="0"/>
          <w:numId w:val="1"/>
        </w:numPr>
        <w:rPr>
          <w:sz w:val="20"/>
          <w:szCs w:val="20"/>
        </w:rPr>
      </w:pPr>
      <w:r w:rsidRPr="005E2F19">
        <w:rPr>
          <w:sz w:val="20"/>
          <w:szCs w:val="20"/>
        </w:rPr>
        <w:t>“S</w:t>
      </w:r>
      <w:r w:rsidR="006217F3" w:rsidRPr="005E2F19">
        <w:rPr>
          <w:sz w:val="20"/>
          <w:szCs w:val="20"/>
        </w:rPr>
        <w:t>ignificant risk" </w:t>
      </w:r>
      <w:hyperlink r:id="rId12" w:history="1">
        <w:r w:rsidR="006217F3" w:rsidRPr="005E2F19">
          <w:rPr>
            <w:rStyle w:val="Hyperlink"/>
            <w:sz w:val="20"/>
            <w:szCs w:val="20"/>
          </w:rPr>
          <w:t>Investigational Device Exemption (IDE)</w:t>
        </w:r>
      </w:hyperlink>
      <w:r w:rsidR="006217F3" w:rsidRPr="005E2F19">
        <w:rPr>
          <w:rStyle w:val="Hyperlink"/>
          <w:sz w:val="20"/>
          <w:szCs w:val="20"/>
        </w:rPr>
        <w:t> </w:t>
      </w:r>
      <w:r w:rsidR="006217F3" w:rsidRPr="005E2F19">
        <w:rPr>
          <w:sz w:val="20"/>
          <w:szCs w:val="20"/>
        </w:rPr>
        <w:t xml:space="preserve">from the FDA, </w:t>
      </w:r>
      <w:r w:rsidR="006217F3" w:rsidRPr="005E2F19">
        <w:rPr>
          <w:i/>
          <w:sz w:val="20"/>
          <w:szCs w:val="20"/>
        </w:rPr>
        <w:t>or</w:t>
      </w:r>
      <w:r w:rsidR="006217F3" w:rsidRPr="005E2F19">
        <w:rPr>
          <w:b/>
          <w:sz w:val="20"/>
          <w:szCs w:val="20"/>
        </w:rPr>
        <w:t xml:space="preserve"> </w:t>
      </w:r>
    </w:p>
    <w:p w14:paraId="4F1A9B9D" w14:textId="4695F8FB" w:rsidR="006217F3" w:rsidRPr="005E2F19" w:rsidRDefault="000E2C07" w:rsidP="000E2C07">
      <w:pPr>
        <w:pStyle w:val="ListParagraph"/>
        <w:numPr>
          <w:ilvl w:val="0"/>
          <w:numId w:val="1"/>
        </w:numPr>
        <w:rPr>
          <w:sz w:val="20"/>
          <w:szCs w:val="20"/>
        </w:rPr>
      </w:pPr>
      <w:r w:rsidRPr="005E2F19">
        <w:rPr>
          <w:sz w:val="20"/>
          <w:szCs w:val="20"/>
        </w:rPr>
        <w:t>A</w:t>
      </w:r>
      <w:r w:rsidR="006217F3" w:rsidRPr="005E2F19">
        <w:rPr>
          <w:sz w:val="20"/>
          <w:szCs w:val="20"/>
        </w:rPr>
        <w:t xml:space="preserve"> determination of "non-significant risk" from the IRB</w:t>
      </w:r>
      <w:r w:rsidR="009F2F66" w:rsidRPr="005E2F19">
        <w:rPr>
          <w:sz w:val="20"/>
          <w:szCs w:val="20"/>
        </w:rPr>
        <w:t xml:space="preserve">, </w:t>
      </w:r>
      <w:r w:rsidR="009F2F66" w:rsidRPr="005E2F19">
        <w:rPr>
          <w:i/>
          <w:sz w:val="20"/>
          <w:szCs w:val="20"/>
        </w:rPr>
        <w:t>or</w:t>
      </w:r>
    </w:p>
    <w:p w14:paraId="2B99C329" w14:textId="7FC8BA7F" w:rsidR="00465E72" w:rsidRPr="005E2F19" w:rsidRDefault="00FE4745" w:rsidP="000E2C07">
      <w:pPr>
        <w:pStyle w:val="ListParagraph"/>
        <w:numPr>
          <w:ilvl w:val="0"/>
          <w:numId w:val="1"/>
        </w:numPr>
        <w:rPr>
          <w:sz w:val="20"/>
          <w:szCs w:val="20"/>
        </w:rPr>
      </w:pPr>
      <w:r w:rsidRPr="005E2F19">
        <w:rPr>
          <w:sz w:val="20"/>
          <w:szCs w:val="20"/>
        </w:rPr>
        <w:t>Verification that</w:t>
      </w:r>
      <w:r w:rsidR="009F2F66" w:rsidRPr="005E2F19">
        <w:rPr>
          <w:sz w:val="20"/>
          <w:szCs w:val="20"/>
        </w:rPr>
        <w:t xml:space="preserve"> the device is “</w:t>
      </w:r>
      <w:r w:rsidR="007A6585" w:rsidRPr="005E2F19">
        <w:rPr>
          <w:sz w:val="20"/>
          <w:szCs w:val="20"/>
        </w:rPr>
        <w:t>e</w:t>
      </w:r>
      <w:r w:rsidR="00465E72" w:rsidRPr="005E2F19">
        <w:rPr>
          <w:sz w:val="20"/>
          <w:szCs w:val="20"/>
        </w:rPr>
        <w:t>xempt</w:t>
      </w:r>
      <w:r w:rsidR="007A6585" w:rsidRPr="005E2F19">
        <w:rPr>
          <w:sz w:val="20"/>
          <w:szCs w:val="20"/>
        </w:rPr>
        <w:t>”</w:t>
      </w:r>
      <w:r w:rsidR="00465E72" w:rsidRPr="005E2F19">
        <w:rPr>
          <w:sz w:val="20"/>
          <w:szCs w:val="20"/>
        </w:rPr>
        <w:t xml:space="preserve"> from IDE requirements</w:t>
      </w:r>
      <w:r w:rsidRPr="005E2F19">
        <w:rPr>
          <w:sz w:val="20"/>
          <w:szCs w:val="20"/>
        </w:rPr>
        <w:t xml:space="preserve"> by the IRB</w:t>
      </w:r>
      <w:r w:rsidR="00465E72" w:rsidRPr="005E2F19">
        <w:rPr>
          <w:sz w:val="20"/>
          <w:szCs w:val="20"/>
        </w:rPr>
        <w:t>.</w:t>
      </w:r>
    </w:p>
    <w:tbl>
      <w:tblPr>
        <w:tblStyle w:val="TableGrid"/>
        <w:tblW w:w="0" w:type="auto"/>
        <w:tblLook w:val="04A0" w:firstRow="1" w:lastRow="0" w:firstColumn="1" w:lastColumn="0" w:noHBand="0" w:noVBand="1"/>
      </w:tblPr>
      <w:tblGrid>
        <w:gridCol w:w="1795"/>
        <w:gridCol w:w="4410"/>
        <w:gridCol w:w="3690"/>
      </w:tblGrid>
      <w:tr w:rsidR="00360E68" w:rsidRPr="005E2F19" w14:paraId="3E62C0D5" w14:textId="54999B73" w:rsidTr="00712089">
        <w:tc>
          <w:tcPr>
            <w:tcW w:w="1795" w:type="dxa"/>
            <w:vAlign w:val="center"/>
          </w:tcPr>
          <w:p w14:paraId="032A329B" w14:textId="04C32BB7" w:rsidR="00360E68" w:rsidRPr="005E2F19" w:rsidRDefault="00FE4745">
            <w:pPr>
              <w:rPr>
                <w:b/>
                <w:sz w:val="20"/>
                <w:szCs w:val="20"/>
              </w:rPr>
            </w:pPr>
            <w:r w:rsidRPr="005E2F19">
              <w:rPr>
                <w:b/>
                <w:sz w:val="20"/>
                <w:szCs w:val="20"/>
              </w:rPr>
              <w:t>Type:</w:t>
            </w:r>
          </w:p>
        </w:tc>
        <w:tc>
          <w:tcPr>
            <w:tcW w:w="4410" w:type="dxa"/>
          </w:tcPr>
          <w:p w14:paraId="04E41E15" w14:textId="77E1E2FA" w:rsidR="00360E68" w:rsidRPr="005E2F19" w:rsidRDefault="00FE4745">
            <w:pPr>
              <w:rPr>
                <w:b/>
                <w:sz w:val="20"/>
                <w:szCs w:val="20"/>
              </w:rPr>
            </w:pPr>
            <w:r w:rsidRPr="005E2F19">
              <w:rPr>
                <w:b/>
                <w:sz w:val="20"/>
                <w:szCs w:val="20"/>
              </w:rPr>
              <w:t>Requirements:</w:t>
            </w:r>
          </w:p>
        </w:tc>
        <w:tc>
          <w:tcPr>
            <w:tcW w:w="3690" w:type="dxa"/>
          </w:tcPr>
          <w:p w14:paraId="23ED65D2" w14:textId="2FCD852F" w:rsidR="00360E68" w:rsidRPr="005E2F19" w:rsidRDefault="00FE4745">
            <w:pPr>
              <w:rPr>
                <w:b/>
                <w:noProof/>
                <w:sz w:val="20"/>
                <w:szCs w:val="20"/>
              </w:rPr>
            </w:pPr>
            <w:r w:rsidRPr="005E2F19">
              <w:rPr>
                <w:b/>
                <w:noProof/>
                <w:sz w:val="20"/>
                <w:szCs w:val="20"/>
              </w:rPr>
              <w:t>Examples:</w:t>
            </w:r>
          </w:p>
        </w:tc>
      </w:tr>
      <w:tr w:rsidR="00FE4745" w:rsidRPr="005E2F19" w14:paraId="123D416E" w14:textId="77777777" w:rsidTr="00EF0CB9">
        <w:tc>
          <w:tcPr>
            <w:tcW w:w="1795" w:type="dxa"/>
            <w:vMerge w:val="restart"/>
            <w:vAlign w:val="center"/>
          </w:tcPr>
          <w:p w14:paraId="02D8B47A" w14:textId="77777777" w:rsidR="00FE4745" w:rsidRPr="005E2F19" w:rsidRDefault="00FE4745" w:rsidP="000873EE">
            <w:pPr>
              <w:rPr>
                <w:b/>
                <w:sz w:val="20"/>
                <w:szCs w:val="20"/>
              </w:rPr>
            </w:pPr>
            <w:r w:rsidRPr="005E2F19">
              <w:rPr>
                <w:b/>
                <w:sz w:val="20"/>
                <w:szCs w:val="20"/>
              </w:rPr>
              <w:t>Significant Risk (SR) Device</w:t>
            </w:r>
          </w:p>
        </w:tc>
        <w:tc>
          <w:tcPr>
            <w:tcW w:w="4410" w:type="dxa"/>
            <w:vAlign w:val="center"/>
          </w:tcPr>
          <w:p w14:paraId="4E90536F" w14:textId="77777777" w:rsidR="00FE4745" w:rsidRPr="005E2F19" w:rsidRDefault="00672418" w:rsidP="00EF0CB9">
            <w:pPr>
              <w:rPr>
                <w:sz w:val="20"/>
                <w:szCs w:val="20"/>
              </w:rPr>
            </w:pPr>
            <w:hyperlink r:id="rId13" w:tgtFrame="_blank" w:history="1">
              <w:r w:rsidR="00FE4745" w:rsidRPr="005E2F19">
                <w:rPr>
                  <w:rStyle w:val="Hyperlink"/>
                  <w:sz w:val="20"/>
                  <w:szCs w:val="20"/>
                </w:rPr>
                <w:t>21 CFR 812.3</w:t>
              </w:r>
            </w:hyperlink>
            <w:r w:rsidR="00FE4745" w:rsidRPr="005E2F19">
              <w:rPr>
                <w:sz w:val="20"/>
                <w:szCs w:val="20"/>
              </w:rPr>
              <w:t xml:space="preserve"> defines </w:t>
            </w:r>
            <w:r w:rsidR="00FE4745" w:rsidRPr="005E2F19">
              <w:rPr>
                <w:noProof/>
                <w:sz w:val="20"/>
                <w:szCs w:val="20"/>
              </w:rPr>
              <w:t>a SR</w:t>
            </w:r>
            <w:r w:rsidR="00FE4745" w:rsidRPr="005E2F19">
              <w:rPr>
                <w:sz w:val="20"/>
                <w:szCs w:val="20"/>
              </w:rPr>
              <w:t xml:space="preserve"> device as an investigational device that:</w:t>
            </w:r>
          </w:p>
        </w:tc>
        <w:tc>
          <w:tcPr>
            <w:tcW w:w="3690" w:type="dxa"/>
            <w:vMerge w:val="restart"/>
          </w:tcPr>
          <w:p w14:paraId="4E2C6536" w14:textId="77777777" w:rsidR="00FE4745" w:rsidRPr="005E2F19" w:rsidRDefault="00712089" w:rsidP="00C12588">
            <w:pPr>
              <w:rPr>
                <w:sz w:val="20"/>
                <w:szCs w:val="20"/>
              </w:rPr>
            </w:pPr>
            <w:r w:rsidRPr="005E2F19">
              <w:rPr>
                <w:sz w:val="20"/>
                <w:szCs w:val="20"/>
              </w:rPr>
              <w:t xml:space="preserve">▪ </w:t>
            </w:r>
            <w:r w:rsidR="00FE4745" w:rsidRPr="005E2F19">
              <w:rPr>
                <w:sz w:val="20"/>
                <w:szCs w:val="20"/>
              </w:rPr>
              <w:t xml:space="preserve">Non-invasive, EEG Devices. </w:t>
            </w:r>
          </w:p>
          <w:p w14:paraId="35A8E32C" w14:textId="77777777" w:rsidR="00EF0CB9" w:rsidRDefault="00EF0CB9" w:rsidP="00C12588">
            <w:pPr>
              <w:rPr>
                <w:sz w:val="20"/>
                <w:szCs w:val="20"/>
              </w:rPr>
            </w:pPr>
            <w:r w:rsidRPr="00EF0CB9">
              <w:rPr>
                <w:sz w:val="20"/>
                <w:szCs w:val="20"/>
              </w:rPr>
              <w:t>▪</w:t>
            </w:r>
            <w:r>
              <w:rPr>
                <w:sz w:val="20"/>
                <w:szCs w:val="20"/>
              </w:rPr>
              <w:t xml:space="preserve"> </w:t>
            </w:r>
            <w:r w:rsidR="005E2F19" w:rsidRPr="005E2F19">
              <w:rPr>
                <w:sz w:val="20"/>
                <w:szCs w:val="20"/>
              </w:rPr>
              <w:t>Artificial skin and interac</w:t>
            </w:r>
            <w:r>
              <w:rPr>
                <w:sz w:val="20"/>
                <w:szCs w:val="20"/>
              </w:rPr>
              <w:t xml:space="preserve">tive wound and </w:t>
            </w:r>
          </w:p>
          <w:p w14:paraId="0E0AE92C" w14:textId="50B02198" w:rsidR="00EF0CB9" w:rsidRDefault="00EF0CB9" w:rsidP="00C12588">
            <w:pPr>
              <w:rPr>
                <w:sz w:val="20"/>
                <w:szCs w:val="20"/>
              </w:rPr>
            </w:pPr>
            <w:r>
              <w:rPr>
                <w:sz w:val="20"/>
                <w:szCs w:val="20"/>
              </w:rPr>
              <w:t xml:space="preserve">   burn dressings,</w:t>
            </w:r>
          </w:p>
          <w:p w14:paraId="4D3FAEE6" w14:textId="77777777" w:rsidR="005E2F19" w:rsidRDefault="00EF0CB9" w:rsidP="00C12588">
            <w:pPr>
              <w:rPr>
                <w:sz w:val="20"/>
                <w:szCs w:val="20"/>
              </w:rPr>
            </w:pPr>
            <w:r w:rsidRPr="005E2F19">
              <w:rPr>
                <w:sz w:val="20"/>
                <w:szCs w:val="20"/>
              </w:rPr>
              <w:t>▪</w:t>
            </w:r>
            <w:r>
              <w:rPr>
                <w:sz w:val="20"/>
                <w:szCs w:val="20"/>
              </w:rPr>
              <w:t xml:space="preserve"> I</w:t>
            </w:r>
            <w:r w:rsidR="005E2F19" w:rsidRPr="005E2F19">
              <w:rPr>
                <w:sz w:val="20"/>
                <w:szCs w:val="20"/>
              </w:rPr>
              <w:t>ntravascular stents</w:t>
            </w:r>
          </w:p>
          <w:p w14:paraId="5E9669EB" w14:textId="77777777" w:rsidR="00716E04" w:rsidRDefault="00716E04" w:rsidP="00C12588">
            <w:pPr>
              <w:rPr>
                <w:sz w:val="20"/>
                <w:szCs w:val="20"/>
              </w:rPr>
            </w:pPr>
            <w:r w:rsidRPr="005E2F19">
              <w:rPr>
                <w:sz w:val="20"/>
                <w:szCs w:val="20"/>
              </w:rPr>
              <w:t>▪</w:t>
            </w:r>
            <w:r>
              <w:rPr>
                <w:sz w:val="20"/>
                <w:szCs w:val="20"/>
              </w:rPr>
              <w:t xml:space="preserve"> C</w:t>
            </w:r>
            <w:r w:rsidRPr="00716E04">
              <w:rPr>
                <w:sz w:val="20"/>
                <w:szCs w:val="20"/>
              </w:rPr>
              <w:t>ardiac pacemakers</w:t>
            </w:r>
          </w:p>
          <w:p w14:paraId="54BCA94E" w14:textId="77777777" w:rsidR="00716E04" w:rsidRPr="00A956D8" w:rsidRDefault="00716E04" w:rsidP="00C12588">
            <w:pPr>
              <w:rPr>
                <w:sz w:val="20"/>
                <w:szCs w:val="20"/>
              </w:rPr>
            </w:pPr>
            <w:r w:rsidRPr="005E2F19">
              <w:rPr>
                <w:sz w:val="20"/>
                <w:szCs w:val="20"/>
              </w:rPr>
              <w:t>▪</w:t>
            </w:r>
            <w:r>
              <w:rPr>
                <w:sz w:val="20"/>
                <w:szCs w:val="20"/>
              </w:rPr>
              <w:t xml:space="preserve"> </w:t>
            </w:r>
            <w:r w:rsidRPr="00A956D8">
              <w:rPr>
                <w:sz w:val="20"/>
                <w:szCs w:val="20"/>
              </w:rPr>
              <w:t>Rebreathing Devices</w:t>
            </w:r>
          </w:p>
          <w:p w14:paraId="2A8D9574" w14:textId="784F3DCE" w:rsidR="00716E04" w:rsidRPr="00A956D8" w:rsidRDefault="00A956D8" w:rsidP="00C12588">
            <w:pPr>
              <w:rPr>
                <w:sz w:val="20"/>
                <w:szCs w:val="20"/>
              </w:rPr>
            </w:pPr>
            <w:r w:rsidRPr="005E2F19">
              <w:rPr>
                <w:sz w:val="20"/>
                <w:szCs w:val="20"/>
              </w:rPr>
              <w:t>▪</w:t>
            </w:r>
            <w:r>
              <w:rPr>
                <w:sz w:val="20"/>
                <w:szCs w:val="20"/>
              </w:rPr>
              <w:t xml:space="preserve"> </w:t>
            </w:r>
            <w:r w:rsidR="00716E04" w:rsidRPr="00A956D8">
              <w:rPr>
                <w:sz w:val="20"/>
                <w:szCs w:val="20"/>
              </w:rPr>
              <w:t>Synthetic Polymer Materials</w:t>
            </w:r>
          </w:p>
          <w:p w14:paraId="640C95DC" w14:textId="734D3C59" w:rsidR="00716E04" w:rsidRPr="00A956D8" w:rsidRDefault="00A956D8" w:rsidP="00C12588">
            <w:pPr>
              <w:rPr>
                <w:sz w:val="20"/>
                <w:szCs w:val="20"/>
              </w:rPr>
            </w:pPr>
            <w:r w:rsidRPr="005E2F19">
              <w:rPr>
                <w:sz w:val="20"/>
                <w:szCs w:val="20"/>
              </w:rPr>
              <w:t>▪</w:t>
            </w:r>
            <w:r>
              <w:rPr>
                <w:sz w:val="20"/>
                <w:szCs w:val="20"/>
              </w:rPr>
              <w:t xml:space="preserve"> </w:t>
            </w:r>
            <w:r w:rsidR="00716E04" w:rsidRPr="00A956D8">
              <w:rPr>
                <w:sz w:val="20"/>
                <w:szCs w:val="20"/>
              </w:rPr>
              <w:t>Infusion Pumps</w:t>
            </w:r>
          </w:p>
          <w:p w14:paraId="7DBB3716" w14:textId="2DF94CFF" w:rsidR="00716E04" w:rsidRPr="00716E04" w:rsidRDefault="00A956D8" w:rsidP="00C12588">
            <w:pPr>
              <w:rPr>
                <w:b/>
              </w:rPr>
            </w:pPr>
            <w:r w:rsidRPr="005E2F19">
              <w:rPr>
                <w:sz w:val="20"/>
                <w:szCs w:val="20"/>
              </w:rPr>
              <w:t>▪</w:t>
            </w:r>
            <w:r>
              <w:rPr>
                <w:sz w:val="20"/>
                <w:szCs w:val="20"/>
              </w:rPr>
              <w:t xml:space="preserve"> </w:t>
            </w:r>
            <w:r w:rsidRPr="00A956D8">
              <w:rPr>
                <w:sz w:val="20"/>
                <w:szCs w:val="20"/>
              </w:rPr>
              <w:t>Contraceptive Devices</w:t>
            </w:r>
          </w:p>
        </w:tc>
      </w:tr>
      <w:tr w:rsidR="00FE4745" w:rsidRPr="005E2F19" w14:paraId="63786582" w14:textId="77777777" w:rsidTr="00EF0CB9">
        <w:tc>
          <w:tcPr>
            <w:tcW w:w="1795" w:type="dxa"/>
            <w:vMerge/>
          </w:tcPr>
          <w:p w14:paraId="5303C4F1" w14:textId="539FEAEA" w:rsidR="00FE4745" w:rsidRPr="005E2F19" w:rsidRDefault="00FE4745" w:rsidP="000873EE">
            <w:pPr>
              <w:rPr>
                <w:b/>
                <w:sz w:val="20"/>
                <w:szCs w:val="20"/>
              </w:rPr>
            </w:pPr>
          </w:p>
        </w:tc>
        <w:tc>
          <w:tcPr>
            <w:tcW w:w="4410" w:type="dxa"/>
            <w:vAlign w:val="center"/>
          </w:tcPr>
          <w:p w14:paraId="52A7434B" w14:textId="77777777" w:rsidR="00FE4745" w:rsidRPr="005E2F19" w:rsidRDefault="00FE4745" w:rsidP="00EF0CB9">
            <w:pPr>
              <w:rPr>
                <w:sz w:val="20"/>
                <w:szCs w:val="20"/>
              </w:rPr>
            </w:pPr>
            <w:r w:rsidRPr="005E2F19">
              <w:rPr>
                <w:sz w:val="20"/>
                <w:szCs w:val="20"/>
              </w:rPr>
              <w:t>Is intended as an implant and presents a potential for serious risk to the health, safety, or welfare of a subject;</w:t>
            </w:r>
          </w:p>
        </w:tc>
        <w:tc>
          <w:tcPr>
            <w:tcW w:w="3690" w:type="dxa"/>
            <w:vMerge/>
          </w:tcPr>
          <w:p w14:paraId="75CD63BE" w14:textId="77777777" w:rsidR="00FE4745" w:rsidRPr="005E2F19" w:rsidRDefault="00FE4745" w:rsidP="000873EE">
            <w:pPr>
              <w:rPr>
                <w:sz w:val="20"/>
                <w:szCs w:val="20"/>
              </w:rPr>
            </w:pPr>
          </w:p>
        </w:tc>
      </w:tr>
      <w:tr w:rsidR="00FE4745" w:rsidRPr="005E2F19" w14:paraId="2B36F649" w14:textId="77777777" w:rsidTr="00EF0CB9">
        <w:tc>
          <w:tcPr>
            <w:tcW w:w="1795" w:type="dxa"/>
            <w:vMerge/>
          </w:tcPr>
          <w:p w14:paraId="1CDB253D" w14:textId="77777777" w:rsidR="00FE4745" w:rsidRPr="005E2F19" w:rsidRDefault="00FE4745" w:rsidP="000873EE">
            <w:pPr>
              <w:rPr>
                <w:b/>
                <w:sz w:val="20"/>
                <w:szCs w:val="20"/>
              </w:rPr>
            </w:pPr>
          </w:p>
        </w:tc>
        <w:tc>
          <w:tcPr>
            <w:tcW w:w="4410" w:type="dxa"/>
            <w:vAlign w:val="center"/>
          </w:tcPr>
          <w:p w14:paraId="1E30560D" w14:textId="77777777" w:rsidR="00FE4745" w:rsidRPr="005E2F19" w:rsidRDefault="00FE4745" w:rsidP="00EF0CB9">
            <w:pPr>
              <w:rPr>
                <w:sz w:val="20"/>
                <w:szCs w:val="20"/>
              </w:rPr>
            </w:pPr>
            <w:r w:rsidRPr="005E2F19">
              <w:rPr>
                <w:sz w:val="20"/>
                <w:szCs w:val="20"/>
              </w:rPr>
              <w:t xml:space="preserve">Is purported or represented to be for </w:t>
            </w:r>
            <w:r w:rsidRPr="005E2F19">
              <w:rPr>
                <w:noProof/>
                <w:sz w:val="20"/>
                <w:szCs w:val="20"/>
              </w:rPr>
              <w:t>a use</w:t>
            </w:r>
            <w:r w:rsidRPr="005E2F19">
              <w:rPr>
                <w:sz w:val="20"/>
                <w:szCs w:val="20"/>
              </w:rPr>
              <w:t xml:space="preserve"> in supporting or sustaining human life and presents a potential for serious risk to the health, safety, or welfare of a subject;</w:t>
            </w:r>
          </w:p>
        </w:tc>
        <w:tc>
          <w:tcPr>
            <w:tcW w:w="3690" w:type="dxa"/>
            <w:vMerge/>
          </w:tcPr>
          <w:p w14:paraId="3F61EFBD" w14:textId="77777777" w:rsidR="00FE4745" w:rsidRPr="005E2F19" w:rsidRDefault="00FE4745" w:rsidP="000873EE">
            <w:pPr>
              <w:rPr>
                <w:sz w:val="20"/>
                <w:szCs w:val="20"/>
              </w:rPr>
            </w:pPr>
          </w:p>
        </w:tc>
      </w:tr>
      <w:tr w:rsidR="00FE4745" w:rsidRPr="005E2F19" w14:paraId="09C5AB8F" w14:textId="77777777" w:rsidTr="00EF0CB9">
        <w:tc>
          <w:tcPr>
            <w:tcW w:w="1795" w:type="dxa"/>
            <w:vMerge/>
          </w:tcPr>
          <w:p w14:paraId="76931313" w14:textId="77777777" w:rsidR="00FE4745" w:rsidRPr="005E2F19" w:rsidRDefault="00FE4745" w:rsidP="000873EE">
            <w:pPr>
              <w:rPr>
                <w:b/>
                <w:sz w:val="20"/>
                <w:szCs w:val="20"/>
              </w:rPr>
            </w:pPr>
          </w:p>
        </w:tc>
        <w:tc>
          <w:tcPr>
            <w:tcW w:w="4410" w:type="dxa"/>
            <w:vAlign w:val="center"/>
          </w:tcPr>
          <w:p w14:paraId="034FC7D4" w14:textId="77777777" w:rsidR="00FE4745" w:rsidRPr="005E2F19" w:rsidRDefault="00FE4745" w:rsidP="00EF0CB9">
            <w:pPr>
              <w:rPr>
                <w:sz w:val="20"/>
                <w:szCs w:val="20"/>
              </w:rPr>
            </w:pPr>
            <w:r w:rsidRPr="005E2F19">
              <w:rPr>
                <w:sz w:val="20"/>
                <w:szCs w:val="20"/>
              </w:rPr>
              <w:t>Is for a use of substantial importance in diagnosing, curing, mitigating, or treating disease, or otherwise preventing impairment of human health and presents a potential for serious risk to the health, safety, or welfare of a subject; or</w:t>
            </w:r>
          </w:p>
        </w:tc>
        <w:tc>
          <w:tcPr>
            <w:tcW w:w="3690" w:type="dxa"/>
            <w:vMerge/>
          </w:tcPr>
          <w:p w14:paraId="26B1B050" w14:textId="77777777" w:rsidR="00FE4745" w:rsidRPr="005E2F19" w:rsidRDefault="00FE4745" w:rsidP="000873EE">
            <w:pPr>
              <w:rPr>
                <w:sz w:val="20"/>
                <w:szCs w:val="20"/>
              </w:rPr>
            </w:pPr>
          </w:p>
        </w:tc>
      </w:tr>
      <w:tr w:rsidR="00FE4745" w:rsidRPr="005E2F19" w14:paraId="27669EBA" w14:textId="77777777" w:rsidTr="00EF0CB9">
        <w:tc>
          <w:tcPr>
            <w:tcW w:w="1795" w:type="dxa"/>
            <w:vMerge/>
          </w:tcPr>
          <w:p w14:paraId="7F5343CB" w14:textId="77777777" w:rsidR="00FE4745" w:rsidRPr="005E2F19" w:rsidRDefault="00FE4745" w:rsidP="000873EE">
            <w:pPr>
              <w:rPr>
                <w:b/>
                <w:sz w:val="20"/>
                <w:szCs w:val="20"/>
              </w:rPr>
            </w:pPr>
          </w:p>
        </w:tc>
        <w:tc>
          <w:tcPr>
            <w:tcW w:w="4410" w:type="dxa"/>
            <w:vAlign w:val="center"/>
          </w:tcPr>
          <w:p w14:paraId="385CC173" w14:textId="77777777" w:rsidR="00FE4745" w:rsidRPr="005E2F19" w:rsidRDefault="00FE4745" w:rsidP="00EF0CB9">
            <w:pPr>
              <w:rPr>
                <w:sz w:val="20"/>
                <w:szCs w:val="20"/>
              </w:rPr>
            </w:pPr>
            <w:r w:rsidRPr="005E2F19">
              <w:rPr>
                <w:sz w:val="20"/>
                <w:szCs w:val="20"/>
              </w:rPr>
              <w:t>Otherwise presents a potential for serious risk to the health, safety, or welfare of a subject.</w:t>
            </w:r>
          </w:p>
        </w:tc>
        <w:tc>
          <w:tcPr>
            <w:tcW w:w="3690" w:type="dxa"/>
            <w:vMerge/>
          </w:tcPr>
          <w:p w14:paraId="5976389C" w14:textId="77777777" w:rsidR="00FE4745" w:rsidRPr="005E2F19" w:rsidRDefault="00FE4745" w:rsidP="000873EE">
            <w:pPr>
              <w:rPr>
                <w:sz w:val="20"/>
                <w:szCs w:val="20"/>
              </w:rPr>
            </w:pPr>
          </w:p>
        </w:tc>
      </w:tr>
      <w:tr w:rsidR="00FE4745" w:rsidRPr="005E2F19" w14:paraId="224DC1CC" w14:textId="77777777" w:rsidTr="00EF0CB9">
        <w:trPr>
          <w:trHeight w:val="620"/>
        </w:trPr>
        <w:tc>
          <w:tcPr>
            <w:tcW w:w="1795" w:type="dxa"/>
            <w:vAlign w:val="center"/>
          </w:tcPr>
          <w:p w14:paraId="26E4082F" w14:textId="48AA13C8" w:rsidR="00FE4745" w:rsidRPr="005E2F19" w:rsidRDefault="00FE4745" w:rsidP="000873EE">
            <w:pPr>
              <w:rPr>
                <w:b/>
                <w:sz w:val="20"/>
                <w:szCs w:val="20"/>
              </w:rPr>
            </w:pPr>
            <w:r w:rsidRPr="005E2F19">
              <w:rPr>
                <w:b/>
                <w:bCs/>
                <w:sz w:val="20"/>
                <w:szCs w:val="20"/>
              </w:rPr>
              <w:t>Non-significant risk (NSR) Device</w:t>
            </w:r>
          </w:p>
        </w:tc>
        <w:tc>
          <w:tcPr>
            <w:tcW w:w="4410" w:type="dxa"/>
            <w:vAlign w:val="center"/>
          </w:tcPr>
          <w:p w14:paraId="151AB8E9" w14:textId="1005B331" w:rsidR="00FE4745" w:rsidRPr="005E2F19" w:rsidRDefault="00FE4745" w:rsidP="00EF0CB9">
            <w:pPr>
              <w:rPr>
                <w:sz w:val="20"/>
                <w:szCs w:val="20"/>
              </w:rPr>
            </w:pPr>
            <w:r w:rsidRPr="005E2F19">
              <w:rPr>
                <w:noProof/>
                <w:sz w:val="20"/>
                <w:szCs w:val="20"/>
              </w:rPr>
              <w:t>A NSR</w:t>
            </w:r>
            <w:r w:rsidRPr="005E2F19">
              <w:rPr>
                <w:sz w:val="20"/>
                <w:szCs w:val="20"/>
              </w:rPr>
              <w:t xml:space="preserve"> device is one that does not meet the definition of </w:t>
            </w:r>
            <w:r w:rsidRPr="005E2F19">
              <w:rPr>
                <w:noProof/>
                <w:sz w:val="20"/>
                <w:szCs w:val="20"/>
              </w:rPr>
              <w:t>a SR</w:t>
            </w:r>
            <w:r w:rsidRPr="005E2F19">
              <w:rPr>
                <w:sz w:val="20"/>
                <w:szCs w:val="20"/>
              </w:rPr>
              <w:t xml:space="preserve"> device.</w:t>
            </w:r>
            <w:r w:rsidR="00040B80" w:rsidRPr="005E2F19">
              <w:rPr>
                <w:sz w:val="20"/>
                <w:szCs w:val="20"/>
              </w:rPr>
              <w:t xml:space="preserve"> See </w:t>
            </w:r>
            <w:hyperlink r:id="rId14" w:history="1">
              <w:r w:rsidR="00040B80" w:rsidRPr="005E2F19">
                <w:rPr>
                  <w:rStyle w:val="Hyperlink"/>
                  <w:sz w:val="20"/>
                  <w:szCs w:val="20"/>
                </w:rPr>
                <w:t>21 CFR 812.2</w:t>
              </w:r>
            </w:hyperlink>
            <w:r w:rsidR="00040B80" w:rsidRPr="005E2F19">
              <w:rPr>
                <w:rStyle w:val="Hyperlink"/>
                <w:sz w:val="20"/>
                <w:szCs w:val="20"/>
              </w:rPr>
              <w:t xml:space="preserve"> </w:t>
            </w:r>
            <w:r w:rsidR="00040B80" w:rsidRPr="005E2F19">
              <w:rPr>
                <w:noProof/>
                <w:sz w:val="20"/>
                <w:szCs w:val="20"/>
              </w:rPr>
              <w:t xml:space="preserve">regarding </w:t>
            </w:r>
            <w:r w:rsidR="00040B80" w:rsidRPr="005E2F19">
              <w:rPr>
                <w:sz w:val="20"/>
                <w:szCs w:val="20"/>
              </w:rPr>
              <w:t>applicability.</w:t>
            </w:r>
          </w:p>
        </w:tc>
        <w:tc>
          <w:tcPr>
            <w:tcW w:w="3690" w:type="dxa"/>
          </w:tcPr>
          <w:p w14:paraId="05F30547" w14:textId="77777777" w:rsidR="00712089" w:rsidRPr="005E2F19" w:rsidRDefault="00712089" w:rsidP="00C12588">
            <w:pPr>
              <w:rPr>
                <w:noProof/>
                <w:sz w:val="20"/>
                <w:szCs w:val="20"/>
              </w:rPr>
            </w:pPr>
            <w:r w:rsidRPr="005E2F19">
              <w:rPr>
                <w:sz w:val="20"/>
                <w:szCs w:val="20"/>
              </w:rPr>
              <w:t xml:space="preserve">▪ </w:t>
            </w:r>
            <w:r w:rsidRPr="005E2F19">
              <w:rPr>
                <w:noProof/>
                <w:sz w:val="20"/>
                <w:szCs w:val="20"/>
              </w:rPr>
              <w:t xml:space="preserve">EEG use for determining brain  </w:t>
            </w:r>
          </w:p>
          <w:p w14:paraId="19F85B42" w14:textId="77777777" w:rsidR="000460E2" w:rsidRPr="005E2F19" w:rsidRDefault="00712089" w:rsidP="00C12588">
            <w:pPr>
              <w:rPr>
                <w:noProof/>
                <w:sz w:val="20"/>
                <w:szCs w:val="20"/>
              </w:rPr>
            </w:pPr>
            <w:r w:rsidRPr="005E2F19">
              <w:rPr>
                <w:noProof/>
                <w:sz w:val="20"/>
                <w:szCs w:val="20"/>
              </w:rPr>
              <w:t xml:space="preserve">   </w:t>
            </w:r>
            <w:r w:rsidR="00FE4745" w:rsidRPr="005E2F19">
              <w:rPr>
                <w:noProof/>
                <w:sz w:val="20"/>
                <w:szCs w:val="20"/>
              </w:rPr>
              <w:t>activity.</w:t>
            </w:r>
          </w:p>
          <w:p w14:paraId="3D348136" w14:textId="604B91FC" w:rsidR="00FE4745" w:rsidRPr="005E2F19" w:rsidRDefault="00FE4745" w:rsidP="00C12588">
            <w:pPr>
              <w:rPr>
                <w:noProof/>
                <w:sz w:val="20"/>
                <w:szCs w:val="20"/>
              </w:rPr>
            </w:pPr>
            <w:r w:rsidRPr="005E2F19">
              <w:rPr>
                <w:noProof/>
                <w:sz w:val="20"/>
                <w:szCs w:val="20"/>
              </w:rPr>
              <w:t xml:space="preserve"> </w:t>
            </w:r>
            <w:r w:rsidR="005E2F19" w:rsidRPr="005E2F19">
              <w:rPr>
                <w:sz w:val="20"/>
                <w:szCs w:val="20"/>
              </w:rPr>
              <w:t xml:space="preserve">▪ </w:t>
            </w:r>
            <w:r w:rsidR="005E2F19" w:rsidRPr="005E2F19">
              <w:rPr>
                <w:noProof/>
                <w:sz w:val="20"/>
                <w:szCs w:val="20"/>
              </w:rPr>
              <w:t xml:space="preserve">Daily wear contact lenses  </w:t>
            </w:r>
          </w:p>
        </w:tc>
      </w:tr>
      <w:tr w:rsidR="00FE4745" w:rsidRPr="005E2F19" w14:paraId="1D601028" w14:textId="77777777" w:rsidTr="00EF0CB9">
        <w:tc>
          <w:tcPr>
            <w:tcW w:w="1795" w:type="dxa"/>
            <w:vAlign w:val="center"/>
          </w:tcPr>
          <w:p w14:paraId="0385AE0A" w14:textId="571E1A08" w:rsidR="00FE4745" w:rsidRPr="005E2F19" w:rsidRDefault="00FE4745" w:rsidP="000873EE">
            <w:pPr>
              <w:rPr>
                <w:b/>
                <w:bCs/>
                <w:sz w:val="20"/>
                <w:szCs w:val="20"/>
              </w:rPr>
            </w:pPr>
            <w:r w:rsidRPr="005E2F19">
              <w:rPr>
                <w:b/>
                <w:bCs/>
                <w:sz w:val="20"/>
                <w:szCs w:val="20"/>
              </w:rPr>
              <w:t>“Exempt” Device</w:t>
            </w:r>
          </w:p>
        </w:tc>
        <w:tc>
          <w:tcPr>
            <w:tcW w:w="4410" w:type="dxa"/>
            <w:vAlign w:val="center"/>
          </w:tcPr>
          <w:p w14:paraId="3A726789" w14:textId="42452178" w:rsidR="00FE4745" w:rsidRPr="005E2F19" w:rsidRDefault="00040B80" w:rsidP="00EF0CB9">
            <w:pPr>
              <w:rPr>
                <w:noProof/>
                <w:sz w:val="20"/>
                <w:szCs w:val="20"/>
              </w:rPr>
            </w:pPr>
            <w:r w:rsidRPr="005E2F19">
              <w:rPr>
                <w:noProof/>
                <w:sz w:val="20"/>
                <w:szCs w:val="20"/>
              </w:rPr>
              <w:t>A device that is exempt from</w:t>
            </w:r>
            <w:r w:rsidRPr="005E2F19">
              <w:rPr>
                <w:rFonts w:ascii="Calibri" w:eastAsia="MS Mincho" w:hAnsi="Calibri" w:cs="Times New Roman"/>
                <w:sz w:val="20"/>
                <w:szCs w:val="20"/>
                <w:lang w:eastAsia="zh-CN"/>
              </w:rPr>
              <w:t xml:space="preserve"> the IDE requirement under </w:t>
            </w:r>
            <w:hyperlink r:id="rId15" w:history="1">
              <w:r w:rsidRPr="005E2F19">
                <w:rPr>
                  <w:rStyle w:val="Hyperlink"/>
                  <w:sz w:val="20"/>
                  <w:szCs w:val="20"/>
                </w:rPr>
                <w:t>21 CFR 812</w:t>
              </w:r>
            </w:hyperlink>
            <w:r w:rsidRPr="005E2F19">
              <w:rPr>
                <w:rFonts w:ascii="Calibri" w:eastAsia="MS Mincho" w:hAnsi="Calibri" w:cs="Times New Roman"/>
                <w:sz w:val="20"/>
                <w:szCs w:val="20"/>
                <w:lang w:eastAsia="zh-CN"/>
              </w:rPr>
              <w:t>. Investigators must submit information to the IRB that evidences such.</w:t>
            </w:r>
          </w:p>
        </w:tc>
        <w:tc>
          <w:tcPr>
            <w:tcW w:w="3690" w:type="dxa"/>
          </w:tcPr>
          <w:p w14:paraId="355F205E" w14:textId="57B22903" w:rsidR="00712089" w:rsidRPr="005E2F19" w:rsidRDefault="00712089" w:rsidP="00712089">
            <w:pPr>
              <w:rPr>
                <w:sz w:val="20"/>
                <w:szCs w:val="20"/>
              </w:rPr>
            </w:pPr>
            <w:r w:rsidRPr="005E2F19">
              <w:rPr>
                <w:sz w:val="20"/>
                <w:szCs w:val="20"/>
              </w:rPr>
              <w:t xml:space="preserve">▪ </w:t>
            </w:r>
            <w:r w:rsidR="00B01140" w:rsidRPr="005E2F19">
              <w:rPr>
                <w:sz w:val="20"/>
                <w:szCs w:val="20"/>
              </w:rPr>
              <w:t>An a</w:t>
            </w:r>
            <w:r w:rsidR="0047303F" w:rsidRPr="005E2F19">
              <w:rPr>
                <w:sz w:val="20"/>
                <w:szCs w:val="20"/>
              </w:rPr>
              <w:t>pproved d</w:t>
            </w:r>
            <w:r w:rsidRPr="005E2F19">
              <w:rPr>
                <w:sz w:val="20"/>
                <w:szCs w:val="20"/>
              </w:rPr>
              <w:t xml:space="preserve">evice used in research  </w:t>
            </w:r>
          </w:p>
          <w:p w14:paraId="4C1C3DCC" w14:textId="202E01C5" w:rsidR="00B01140" w:rsidRPr="005E2F19" w:rsidRDefault="00712089" w:rsidP="00712089">
            <w:pPr>
              <w:rPr>
                <w:sz w:val="20"/>
                <w:szCs w:val="20"/>
              </w:rPr>
            </w:pPr>
            <w:r w:rsidRPr="005E2F19">
              <w:rPr>
                <w:sz w:val="20"/>
                <w:szCs w:val="20"/>
              </w:rPr>
              <w:t xml:space="preserve">  </w:t>
            </w:r>
            <w:r w:rsidR="00B01140" w:rsidRPr="005E2F19">
              <w:rPr>
                <w:sz w:val="20"/>
                <w:szCs w:val="20"/>
              </w:rPr>
              <w:t>according to its approved labeling</w:t>
            </w:r>
            <w:r w:rsidRPr="005E2F19">
              <w:rPr>
                <w:sz w:val="20"/>
                <w:szCs w:val="20"/>
              </w:rPr>
              <w:t>.</w:t>
            </w:r>
          </w:p>
          <w:p w14:paraId="54D18BE2" w14:textId="17C44E35" w:rsidR="00C12588" w:rsidRPr="005E2F19" w:rsidRDefault="00712089" w:rsidP="00712089">
            <w:pPr>
              <w:rPr>
                <w:sz w:val="20"/>
                <w:szCs w:val="20"/>
              </w:rPr>
            </w:pPr>
            <w:r w:rsidRPr="005E2F19">
              <w:rPr>
                <w:sz w:val="20"/>
                <w:szCs w:val="20"/>
              </w:rPr>
              <w:t xml:space="preserve">▪ </w:t>
            </w:r>
            <w:r w:rsidR="005E2F19">
              <w:rPr>
                <w:sz w:val="20"/>
                <w:szCs w:val="20"/>
              </w:rPr>
              <w:t>Device c</w:t>
            </w:r>
            <w:r w:rsidR="00C12588" w:rsidRPr="005E2F19">
              <w:rPr>
                <w:sz w:val="20"/>
                <w:szCs w:val="20"/>
              </w:rPr>
              <w:t>onsumer preference testing</w:t>
            </w:r>
            <w:r w:rsidR="0047303F" w:rsidRPr="005E2F19">
              <w:rPr>
                <w:sz w:val="20"/>
                <w:szCs w:val="20"/>
              </w:rPr>
              <w:t>.</w:t>
            </w:r>
          </w:p>
          <w:p w14:paraId="51FACB8F" w14:textId="62A2CFF4" w:rsidR="00405310" w:rsidRPr="005E2F19" w:rsidRDefault="00712089" w:rsidP="001909D5">
            <w:pPr>
              <w:rPr>
                <w:sz w:val="20"/>
                <w:szCs w:val="20"/>
              </w:rPr>
            </w:pPr>
            <w:r w:rsidRPr="005E2F19">
              <w:rPr>
                <w:sz w:val="20"/>
                <w:szCs w:val="20"/>
              </w:rPr>
              <w:t xml:space="preserve">▪ </w:t>
            </w:r>
            <w:r w:rsidR="001909D5">
              <w:rPr>
                <w:sz w:val="20"/>
                <w:szCs w:val="20"/>
              </w:rPr>
              <w:t>Particular</w:t>
            </w:r>
            <w:r w:rsidR="00EE2EDA" w:rsidRPr="005E2F19">
              <w:rPr>
                <w:sz w:val="20"/>
                <w:szCs w:val="20"/>
              </w:rPr>
              <w:t xml:space="preserve"> </w:t>
            </w:r>
            <w:r w:rsidR="00405310" w:rsidRPr="005E2F19">
              <w:rPr>
                <w:sz w:val="20"/>
                <w:szCs w:val="20"/>
              </w:rPr>
              <w:t>in vitro diagnostic studies</w:t>
            </w:r>
            <w:r w:rsidR="0047303F" w:rsidRPr="005E2F19">
              <w:rPr>
                <w:sz w:val="20"/>
                <w:szCs w:val="20"/>
              </w:rPr>
              <w:t>.</w:t>
            </w:r>
          </w:p>
        </w:tc>
      </w:tr>
    </w:tbl>
    <w:p w14:paraId="09726F78" w14:textId="1D699130" w:rsidR="001019E8" w:rsidRPr="00CE2506" w:rsidRDefault="001438A1">
      <w:pPr>
        <w:rPr>
          <w:sz w:val="16"/>
          <w:szCs w:val="16"/>
        </w:rPr>
      </w:pPr>
      <w:r w:rsidRPr="00CE2506">
        <w:rPr>
          <w:sz w:val="16"/>
          <w:szCs w:val="16"/>
        </w:rPr>
        <w:t>*</w:t>
      </w:r>
      <w:r w:rsidR="00E8097C" w:rsidRPr="00CE2506">
        <w:rPr>
          <w:sz w:val="16"/>
          <w:szCs w:val="16"/>
        </w:rPr>
        <w:t xml:space="preserve">Additional supporting information should be submitted, as appropriate. The IRB should also be informed if the FDA or any other IRB has determined the device to present SR or </w:t>
      </w:r>
      <w:r w:rsidR="00E8097C" w:rsidRPr="00CE2506">
        <w:rPr>
          <w:noProof/>
          <w:sz w:val="16"/>
          <w:szCs w:val="16"/>
        </w:rPr>
        <w:t>NSR,</w:t>
      </w:r>
      <w:r w:rsidR="00E8097C" w:rsidRPr="00CE2506">
        <w:rPr>
          <w:sz w:val="16"/>
          <w:szCs w:val="16"/>
        </w:rPr>
        <w:t xml:space="preserve"> and provide any further information requested by the IRB.</w:t>
      </w:r>
    </w:p>
    <w:p w14:paraId="46543808" w14:textId="30788B6D" w:rsidR="005E74B6" w:rsidRPr="005E2F19" w:rsidRDefault="005E74B6" w:rsidP="00E8097C">
      <w:pPr>
        <w:rPr>
          <w:b/>
          <w:sz w:val="20"/>
          <w:szCs w:val="20"/>
        </w:rPr>
      </w:pPr>
      <w:r w:rsidRPr="005E2F19">
        <w:rPr>
          <w:sz w:val="20"/>
          <w:szCs w:val="20"/>
        </w:rPr>
        <w:t>The FDA's </w:t>
      </w:r>
      <w:hyperlink r:id="rId16" w:tgtFrame="_blank" w:history="1">
        <w:r w:rsidRPr="005E2F19">
          <w:rPr>
            <w:rStyle w:val="Hyperlink"/>
            <w:sz w:val="20"/>
            <w:szCs w:val="20"/>
          </w:rPr>
          <w:t>"Significant Risk and Nonsignificant Risk Medical Device Studies" Information Sheet</w:t>
        </w:r>
      </w:hyperlink>
      <w:r w:rsidRPr="005E2F19">
        <w:rPr>
          <w:sz w:val="20"/>
          <w:szCs w:val="20"/>
        </w:rPr>
        <w:t xml:space="preserve"> provides criteria for </w:t>
      </w:r>
      <w:r w:rsidR="00D56BCC" w:rsidRPr="005E2F19">
        <w:rPr>
          <w:sz w:val="20"/>
          <w:szCs w:val="20"/>
        </w:rPr>
        <w:t xml:space="preserve">assistance </w:t>
      </w:r>
      <w:r w:rsidRPr="005E2F19">
        <w:rPr>
          <w:sz w:val="20"/>
          <w:szCs w:val="20"/>
        </w:rPr>
        <w:t xml:space="preserve">in making these </w:t>
      </w:r>
      <w:r w:rsidR="00D56BCC" w:rsidRPr="005E2F19">
        <w:rPr>
          <w:sz w:val="20"/>
          <w:szCs w:val="20"/>
        </w:rPr>
        <w:t>determinations</w:t>
      </w:r>
      <w:r w:rsidRPr="005E2F19">
        <w:rPr>
          <w:sz w:val="20"/>
          <w:szCs w:val="20"/>
        </w:rPr>
        <w:t>.</w:t>
      </w:r>
    </w:p>
    <w:p w14:paraId="5C19D4EC" w14:textId="68944E29" w:rsidR="00E8097C" w:rsidRPr="005E2F19" w:rsidRDefault="00E8097C" w:rsidP="00E8097C">
      <w:pPr>
        <w:rPr>
          <w:b/>
          <w:sz w:val="20"/>
          <w:szCs w:val="20"/>
          <w:u w:val="single"/>
        </w:rPr>
      </w:pPr>
      <w:r w:rsidRPr="005E2F19">
        <w:rPr>
          <w:b/>
          <w:sz w:val="20"/>
          <w:szCs w:val="20"/>
          <w:u w:val="single"/>
        </w:rPr>
        <w:lastRenderedPageBreak/>
        <w:t xml:space="preserve">IRB Determination of Significant </w:t>
      </w:r>
      <w:r w:rsidR="00D861B7" w:rsidRPr="005E2F19">
        <w:rPr>
          <w:b/>
          <w:sz w:val="20"/>
          <w:szCs w:val="20"/>
          <w:u w:val="single"/>
        </w:rPr>
        <w:t>vs.</w:t>
      </w:r>
      <w:r w:rsidRPr="005E2F19">
        <w:rPr>
          <w:b/>
          <w:sz w:val="20"/>
          <w:szCs w:val="20"/>
          <w:u w:val="single"/>
        </w:rPr>
        <w:t xml:space="preserve"> Non-significant Risk</w:t>
      </w:r>
    </w:p>
    <w:p w14:paraId="0592D731" w14:textId="77777777" w:rsidR="00C20C40" w:rsidRPr="005E2F19" w:rsidRDefault="0036011B" w:rsidP="00E8097C">
      <w:pPr>
        <w:rPr>
          <w:sz w:val="20"/>
          <w:szCs w:val="20"/>
        </w:rPr>
      </w:pPr>
      <w:r w:rsidRPr="005E2F19">
        <w:rPr>
          <w:sz w:val="20"/>
          <w:szCs w:val="20"/>
        </w:rPr>
        <w:t xml:space="preserve">Investigators may not make their own device determinations. </w:t>
      </w:r>
      <w:r w:rsidR="00E8097C" w:rsidRPr="005E2F19">
        <w:rPr>
          <w:sz w:val="20"/>
          <w:szCs w:val="20"/>
        </w:rPr>
        <w:t xml:space="preserve">The IRB </w:t>
      </w:r>
      <w:r w:rsidRPr="005E2F19">
        <w:rPr>
          <w:sz w:val="20"/>
          <w:szCs w:val="20"/>
        </w:rPr>
        <w:t xml:space="preserve">will determine the device’s </w:t>
      </w:r>
      <w:r w:rsidRPr="004F29D5">
        <w:rPr>
          <w:b/>
          <w:i/>
          <w:sz w:val="20"/>
          <w:szCs w:val="20"/>
        </w:rPr>
        <w:t>risk status</w:t>
      </w:r>
      <w:r w:rsidR="00E8097C" w:rsidRPr="005E2F19">
        <w:rPr>
          <w:sz w:val="20"/>
          <w:szCs w:val="20"/>
        </w:rPr>
        <w:t xml:space="preserve"> </w:t>
      </w:r>
      <w:r w:rsidR="00C20C40" w:rsidRPr="005E2F19">
        <w:rPr>
          <w:sz w:val="20"/>
          <w:szCs w:val="20"/>
        </w:rPr>
        <w:t>using information such as:</w:t>
      </w:r>
    </w:p>
    <w:p w14:paraId="0320176B" w14:textId="779BD2A1" w:rsidR="004852B7" w:rsidRPr="005E2F19" w:rsidRDefault="004852B7" w:rsidP="004852B7">
      <w:pPr>
        <w:pStyle w:val="ListParagraph"/>
        <w:numPr>
          <w:ilvl w:val="0"/>
          <w:numId w:val="15"/>
        </w:numPr>
        <w:rPr>
          <w:sz w:val="20"/>
          <w:szCs w:val="20"/>
        </w:rPr>
      </w:pPr>
      <w:r w:rsidRPr="005E2F19">
        <w:rPr>
          <w:sz w:val="20"/>
          <w:szCs w:val="20"/>
        </w:rPr>
        <w:t xml:space="preserve">The nature of </w:t>
      </w:r>
      <w:r w:rsidR="00625B91">
        <w:rPr>
          <w:sz w:val="20"/>
          <w:szCs w:val="20"/>
        </w:rPr>
        <w:t xml:space="preserve">the </w:t>
      </w:r>
      <w:r w:rsidRPr="005E2F19">
        <w:rPr>
          <w:sz w:val="20"/>
          <w:szCs w:val="20"/>
        </w:rPr>
        <w:t>harm that may re</w:t>
      </w:r>
      <w:r w:rsidR="004F29D5">
        <w:rPr>
          <w:sz w:val="20"/>
          <w:szCs w:val="20"/>
        </w:rPr>
        <w:t xml:space="preserve">sult from the use of the device </w:t>
      </w:r>
      <w:r w:rsidR="004F29D5">
        <w:rPr>
          <w:sz w:val="20"/>
          <w:szCs w:val="20"/>
        </w:rPr>
        <w:tab/>
      </w:r>
      <w:r w:rsidR="004F29D5">
        <w:rPr>
          <w:sz w:val="20"/>
          <w:szCs w:val="20"/>
        </w:rPr>
        <w:tab/>
      </w:r>
      <w:r w:rsidR="004F29D5">
        <w:rPr>
          <w:sz w:val="20"/>
          <w:szCs w:val="20"/>
        </w:rPr>
        <w:tab/>
      </w:r>
      <w:r w:rsidR="004F29D5">
        <w:rPr>
          <w:sz w:val="20"/>
          <w:szCs w:val="20"/>
        </w:rPr>
        <w:tab/>
      </w:r>
      <w:r w:rsidR="004F29D5">
        <w:rPr>
          <w:sz w:val="20"/>
          <w:szCs w:val="20"/>
        </w:rPr>
        <w:tab/>
        <w:t xml:space="preserve">        (e.g., potentially life-threatening, could result in impairment or permanent damage</w:t>
      </w:r>
      <w:r w:rsidR="00625B91">
        <w:rPr>
          <w:sz w:val="20"/>
          <w:szCs w:val="20"/>
        </w:rPr>
        <w:t>,</w:t>
      </w:r>
      <w:r w:rsidR="004F29D5">
        <w:rPr>
          <w:sz w:val="20"/>
          <w:szCs w:val="20"/>
        </w:rPr>
        <w:t xml:space="preserve"> etc.).</w:t>
      </w:r>
    </w:p>
    <w:p w14:paraId="20CFD2E0" w14:textId="07E1F2C7" w:rsidR="00E8097C" w:rsidRDefault="00C20C40" w:rsidP="00C20C40">
      <w:pPr>
        <w:pStyle w:val="ListParagraph"/>
        <w:numPr>
          <w:ilvl w:val="0"/>
          <w:numId w:val="15"/>
        </w:numPr>
        <w:rPr>
          <w:sz w:val="20"/>
          <w:szCs w:val="20"/>
        </w:rPr>
      </w:pPr>
      <w:r w:rsidRPr="005E2F19">
        <w:rPr>
          <w:sz w:val="20"/>
          <w:szCs w:val="20"/>
        </w:rPr>
        <w:t>T</w:t>
      </w:r>
      <w:r w:rsidR="0047303F" w:rsidRPr="005E2F19">
        <w:rPr>
          <w:sz w:val="20"/>
          <w:szCs w:val="20"/>
        </w:rPr>
        <w:t>he</w:t>
      </w:r>
      <w:r w:rsidRPr="005E2F19">
        <w:rPr>
          <w:sz w:val="20"/>
          <w:szCs w:val="20"/>
        </w:rPr>
        <w:t xml:space="preserve"> study procedures</w:t>
      </w:r>
      <w:r w:rsidR="004F29D5">
        <w:rPr>
          <w:sz w:val="20"/>
          <w:szCs w:val="20"/>
        </w:rPr>
        <w:t xml:space="preserve"> (e.g.</w:t>
      </w:r>
      <w:r w:rsidRPr="005E2F19">
        <w:rPr>
          <w:sz w:val="20"/>
          <w:szCs w:val="20"/>
        </w:rPr>
        <w:t>,</w:t>
      </w:r>
      <w:r w:rsidR="004F29D5">
        <w:rPr>
          <w:sz w:val="20"/>
          <w:szCs w:val="20"/>
        </w:rPr>
        <w:t xml:space="preserve"> includes surgical procedures)</w:t>
      </w:r>
      <w:r w:rsidRPr="005E2F19">
        <w:rPr>
          <w:sz w:val="20"/>
          <w:szCs w:val="20"/>
        </w:rPr>
        <w:t xml:space="preserve"> and </w:t>
      </w:r>
      <w:r w:rsidR="004F29D5">
        <w:rPr>
          <w:sz w:val="20"/>
          <w:szCs w:val="20"/>
        </w:rPr>
        <w:t>if t</w:t>
      </w:r>
      <w:r w:rsidR="00E8097C" w:rsidRPr="005E2F19">
        <w:rPr>
          <w:sz w:val="20"/>
          <w:szCs w:val="20"/>
        </w:rPr>
        <w:t xml:space="preserve">he investigation </w:t>
      </w:r>
      <w:r w:rsidR="0036011B" w:rsidRPr="005E2F19">
        <w:rPr>
          <w:sz w:val="20"/>
          <w:szCs w:val="20"/>
        </w:rPr>
        <w:t xml:space="preserve">itself </w:t>
      </w:r>
      <w:r w:rsidRPr="005E2F19">
        <w:rPr>
          <w:sz w:val="20"/>
          <w:szCs w:val="20"/>
        </w:rPr>
        <w:t xml:space="preserve">is </w:t>
      </w:r>
      <w:r w:rsidR="0036011B" w:rsidRPr="005E2F19">
        <w:rPr>
          <w:sz w:val="20"/>
          <w:szCs w:val="20"/>
        </w:rPr>
        <w:t>approvable</w:t>
      </w:r>
      <w:r w:rsidRPr="005E2F19">
        <w:rPr>
          <w:sz w:val="20"/>
          <w:szCs w:val="20"/>
        </w:rPr>
        <w:t>.</w:t>
      </w:r>
    </w:p>
    <w:p w14:paraId="482E8E92" w14:textId="49637411" w:rsidR="004852B7" w:rsidRPr="004852B7" w:rsidRDefault="004852B7" w:rsidP="004852B7">
      <w:pPr>
        <w:pStyle w:val="ListParagraph"/>
        <w:numPr>
          <w:ilvl w:val="0"/>
          <w:numId w:val="15"/>
        </w:numPr>
        <w:rPr>
          <w:sz w:val="20"/>
          <w:szCs w:val="20"/>
        </w:rPr>
      </w:pPr>
      <w:r w:rsidRPr="005E2F19">
        <w:rPr>
          <w:sz w:val="20"/>
          <w:szCs w:val="20"/>
        </w:rPr>
        <w:t>The investigator/sponsor’s risk designation and justification criteria.</w:t>
      </w:r>
    </w:p>
    <w:p w14:paraId="6845D00E" w14:textId="567FF4D8" w:rsidR="00C20C40" w:rsidRPr="005E2F19" w:rsidRDefault="00C20C40" w:rsidP="001A18D7">
      <w:pPr>
        <w:pStyle w:val="ListParagraph"/>
        <w:numPr>
          <w:ilvl w:val="0"/>
          <w:numId w:val="15"/>
        </w:numPr>
        <w:rPr>
          <w:sz w:val="20"/>
          <w:szCs w:val="20"/>
        </w:rPr>
      </w:pPr>
      <w:r w:rsidRPr="005E2F19">
        <w:rPr>
          <w:sz w:val="20"/>
          <w:szCs w:val="20"/>
        </w:rPr>
        <w:t>R</w:t>
      </w:r>
      <w:r w:rsidR="004F29D5">
        <w:rPr>
          <w:sz w:val="20"/>
          <w:szCs w:val="20"/>
        </w:rPr>
        <w:t>eports regarding</w:t>
      </w:r>
      <w:r w:rsidRPr="005E2F19">
        <w:rPr>
          <w:sz w:val="20"/>
          <w:szCs w:val="20"/>
        </w:rPr>
        <w:t xml:space="preserve"> prior investigations of the device.</w:t>
      </w:r>
    </w:p>
    <w:p w14:paraId="0B69B907" w14:textId="77777777" w:rsidR="004852B7" w:rsidRPr="004852B7" w:rsidRDefault="00E8097C" w:rsidP="00E8097C">
      <w:pPr>
        <w:rPr>
          <w:sz w:val="20"/>
          <w:szCs w:val="20"/>
        </w:rPr>
      </w:pPr>
      <w:r w:rsidRPr="004852B7">
        <w:rPr>
          <w:sz w:val="20"/>
          <w:szCs w:val="20"/>
        </w:rPr>
        <w:t xml:space="preserve">The IRB may agree or disagree with the investigator's or sponsor's initial </w:t>
      </w:r>
      <w:r w:rsidR="0036011B" w:rsidRPr="004852B7">
        <w:rPr>
          <w:sz w:val="20"/>
          <w:szCs w:val="20"/>
        </w:rPr>
        <w:t>device risk</w:t>
      </w:r>
      <w:r w:rsidRPr="004852B7">
        <w:rPr>
          <w:sz w:val="20"/>
          <w:szCs w:val="20"/>
        </w:rPr>
        <w:t xml:space="preserve"> assessment. </w:t>
      </w:r>
    </w:p>
    <w:p w14:paraId="073D36A2" w14:textId="578D6BEC" w:rsidR="00E8097C" w:rsidRDefault="00E8097C" w:rsidP="00E8097C">
      <w:pPr>
        <w:pStyle w:val="ListParagraph"/>
        <w:numPr>
          <w:ilvl w:val="0"/>
          <w:numId w:val="19"/>
        </w:numPr>
        <w:rPr>
          <w:sz w:val="20"/>
          <w:szCs w:val="20"/>
        </w:rPr>
      </w:pPr>
      <w:r w:rsidRPr="004852B7">
        <w:rPr>
          <w:sz w:val="20"/>
          <w:szCs w:val="20"/>
        </w:rPr>
        <w:t>If the IRB</w:t>
      </w:r>
      <w:r w:rsidR="004852B7">
        <w:rPr>
          <w:sz w:val="20"/>
          <w:szCs w:val="20"/>
        </w:rPr>
        <w:t xml:space="preserve"> agrees to a</w:t>
      </w:r>
      <w:r w:rsidRPr="004852B7">
        <w:rPr>
          <w:sz w:val="20"/>
          <w:szCs w:val="20"/>
        </w:rPr>
        <w:t xml:space="preserve"> NSR determination, the investigation may proceed without FDA approval after the IRB approves the study.</w:t>
      </w:r>
    </w:p>
    <w:p w14:paraId="17C00247" w14:textId="77777777" w:rsidR="004852B7" w:rsidRDefault="004852B7" w:rsidP="004852B7">
      <w:pPr>
        <w:pStyle w:val="ListParagraph"/>
        <w:rPr>
          <w:sz w:val="20"/>
          <w:szCs w:val="20"/>
        </w:rPr>
      </w:pPr>
    </w:p>
    <w:p w14:paraId="10E559C8" w14:textId="6EE3C3D1" w:rsidR="004852B7" w:rsidRPr="004852B7" w:rsidRDefault="00AE6A05" w:rsidP="00E8097C">
      <w:pPr>
        <w:pStyle w:val="ListParagraph"/>
        <w:numPr>
          <w:ilvl w:val="0"/>
          <w:numId w:val="19"/>
        </w:numPr>
        <w:rPr>
          <w:sz w:val="20"/>
          <w:szCs w:val="20"/>
        </w:rPr>
      </w:pPr>
      <w:r>
        <w:rPr>
          <w:sz w:val="20"/>
          <w:szCs w:val="20"/>
        </w:rPr>
        <w:t>If the IRB determines the device to be a significant risk (SR)</w:t>
      </w:r>
      <w:r w:rsidR="004852B7" w:rsidRPr="004852B7">
        <w:rPr>
          <w:sz w:val="20"/>
          <w:szCs w:val="20"/>
        </w:rPr>
        <w:t xml:space="preserve">, the study can only be conducted at this institution as a study involving a </w:t>
      </w:r>
      <w:r>
        <w:rPr>
          <w:sz w:val="20"/>
          <w:szCs w:val="20"/>
        </w:rPr>
        <w:t xml:space="preserve">SR </w:t>
      </w:r>
      <w:r w:rsidR="004852B7" w:rsidRPr="004852B7">
        <w:rPr>
          <w:sz w:val="20"/>
          <w:szCs w:val="20"/>
        </w:rPr>
        <w:t>device, and the investigator or sponsor must notify the FDA that a SR determinati</w:t>
      </w:r>
      <w:r w:rsidR="004852B7">
        <w:rPr>
          <w:sz w:val="20"/>
          <w:szCs w:val="20"/>
        </w:rPr>
        <w:t>on has been made for the device.</w:t>
      </w:r>
    </w:p>
    <w:p w14:paraId="3F63F79E" w14:textId="77777777" w:rsidR="004852B7" w:rsidRDefault="004852B7" w:rsidP="004852B7">
      <w:pPr>
        <w:rPr>
          <w:sz w:val="20"/>
          <w:szCs w:val="20"/>
        </w:rPr>
      </w:pPr>
      <w:r w:rsidRPr="004852B7">
        <w:rPr>
          <w:sz w:val="20"/>
          <w:szCs w:val="20"/>
        </w:rPr>
        <w:t>While the IRB is serving as FDA's surrogate with respec</w:t>
      </w:r>
      <w:r>
        <w:rPr>
          <w:sz w:val="20"/>
          <w:szCs w:val="20"/>
        </w:rPr>
        <w:t xml:space="preserve">t to review and approval of NSR </w:t>
      </w:r>
      <w:r w:rsidRPr="004852B7">
        <w:rPr>
          <w:sz w:val="20"/>
          <w:szCs w:val="20"/>
        </w:rPr>
        <w:t xml:space="preserve">devices, </w:t>
      </w:r>
      <w:r w:rsidR="00E8097C" w:rsidRPr="004852B7">
        <w:rPr>
          <w:b/>
          <w:sz w:val="20"/>
          <w:szCs w:val="20"/>
        </w:rPr>
        <w:t>The FDA has the ultimate decision in determining if a device is SR or NSR</w:t>
      </w:r>
      <w:r w:rsidR="00E8097C" w:rsidRPr="005E2F19">
        <w:rPr>
          <w:sz w:val="20"/>
          <w:szCs w:val="20"/>
        </w:rPr>
        <w:t xml:space="preserve">. On some occasions, </w:t>
      </w:r>
      <w:r w:rsidR="00E8097C" w:rsidRPr="005E2F19">
        <w:rPr>
          <w:noProof/>
          <w:sz w:val="20"/>
          <w:szCs w:val="20"/>
        </w:rPr>
        <w:t>FDA</w:t>
      </w:r>
      <w:r w:rsidR="00E8097C" w:rsidRPr="005E2F19">
        <w:rPr>
          <w:sz w:val="20"/>
          <w:szCs w:val="20"/>
        </w:rPr>
        <w:t xml:space="preserve"> may overrule the IRB's decision that a device presents NSR or SR. </w:t>
      </w:r>
    </w:p>
    <w:p w14:paraId="24DFFD4C" w14:textId="3C330E47" w:rsidR="004852B7" w:rsidRDefault="00E8097C" w:rsidP="00E8097C">
      <w:pPr>
        <w:pStyle w:val="ListParagraph"/>
        <w:numPr>
          <w:ilvl w:val="0"/>
          <w:numId w:val="20"/>
        </w:numPr>
        <w:rPr>
          <w:sz w:val="20"/>
          <w:szCs w:val="20"/>
        </w:rPr>
      </w:pPr>
      <w:r w:rsidRPr="004852B7">
        <w:rPr>
          <w:sz w:val="20"/>
          <w:szCs w:val="20"/>
        </w:rPr>
        <w:t xml:space="preserve">When FDA overrules an IRB's NSR determination, an IDE application must be submitted to </w:t>
      </w:r>
      <w:r w:rsidRPr="004852B7">
        <w:rPr>
          <w:noProof/>
          <w:sz w:val="20"/>
          <w:szCs w:val="20"/>
        </w:rPr>
        <w:t>FDA</w:t>
      </w:r>
      <w:r w:rsidR="004F29D5">
        <w:rPr>
          <w:noProof/>
          <w:sz w:val="20"/>
          <w:szCs w:val="20"/>
        </w:rPr>
        <w:t>.</w:t>
      </w:r>
    </w:p>
    <w:p w14:paraId="1678A9F6" w14:textId="77777777" w:rsidR="004852B7" w:rsidRDefault="004852B7" w:rsidP="004852B7">
      <w:pPr>
        <w:pStyle w:val="ListParagraph"/>
        <w:rPr>
          <w:sz w:val="20"/>
          <w:szCs w:val="20"/>
        </w:rPr>
      </w:pPr>
    </w:p>
    <w:p w14:paraId="6F0BBF32" w14:textId="40051AE9" w:rsidR="006C08A8" w:rsidRPr="004852B7" w:rsidRDefault="00913927" w:rsidP="00E8097C">
      <w:pPr>
        <w:pStyle w:val="ListParagraph"/>
        <w:numPr>
          <w:ilvl w:val="0"/>
          <w:numId w:val="20"/>
        </w:numPr>
        <w:rPr>
          <w:sz w:val="20"/>
          <w:szCs w:val="20"/>
        </w:rPr>
      </w:pPr>
      <w:r w:rsidRPr="004852B7">
        <w:rPr>
          <w:sz w:val="20"/>
          <w:szCs w:val="20"/>
        </w:rPr>
        <w:t>W</w:t>
      </w:r>
      <w:r w:rsidR="00E8097C" w:rsidRPr="004852B7">
        <w:rPr>
          <w:sz w:val="20"/>
          <w:szCs w:val="20"/>
        </w:rPr>
        <w:t xml:space="preserve">hen </w:t>
      </w:r>
      <w:r w:rsidR="00E8097C" w:rsidRPr="004852B7">
        <w:rPr>
          <w:noProof/>
          <w:sz w:val="20"/>
          <w:szCs w:val="20"/>
        </w:rPr>
        <w:t>FDA</w:t>
      </w:r>
      <w:r w:rsidR="00E8097C" w:rsidRPr="004852B7">
        <w:rPr>
          <w:sz w:val="20"/>
          <w:szCs w:val="20"/>
        </w:rPr>
        <w:t xml:space="preserve"> considers the device to be NSR, FDA may return an IDE application to the investigator or sponsor. The IRB must then determine if it wants the study to take place at this institution as </w:t>
      </w:r>
      <w:r w:rsidR="00E8097C" w:rsidRPr="004852B7">
        <w:rPr>
          <w:noProof/>
          <w:sz w:val="20"/>
          <w:szCs w:val="20"/>
        </w:rPr>
        <w:t>a NSR</w:t>
      </w:r>
      <w:r w:rsidR="00E8097C" w:rsidRPr="004852B7">
        <w:rPr>
          <w:sz w:val="20"/>
          <w:szCs w:val="20"/>
        </w:rPr>
        <w:t xml:space="preserve"> device investigation.</w:t>
      </w:r>
    </w:p>
    <w:p w14:paraId="088AC938" w14:textId="77777777" w:rsidR="006C08A8" w:rsidRPr="005E2F19" w:rsidRDefault="006C08A8" w:rsidP="006C08A8">
      <w:pPr>
        <w:rPr>
          <w:sz w:val="20"/>
          <w:szCs w:val="20"/>
        </w:rPr>
      </w:pPr>
    </w:p>
    <w:p w14:paraId="38BE71E1" w14:textId="77777777" w:rsidR="006C08A8" w:rsidRPr="005E2F19" w:rsidRDefault="006C08A8" w:rsidP="006C08A8">
      <w:pPr>
        <w:rPr>
          <w:sz w:val="20"/>
          <w:szCs w:val="20"/>
        </w:rPr>
      </w:pPr>
    </w:p>
    <w:p w14:paraId="5AA14446" w14:textId="77777777" w:rsidR="006C08A8" w:rsidRPr="005E2F19" w:rsidRDefault="006C08A8" w:rsidP="006C08A8">
      <w:pPr>
        <w:rPr>
          <w:sz w:val="20"/>
          <w:szCs w:val="20"/>
        </w:rPr>
      </w:pPr>
    </w:p>
    <w:p w14:paraId="5D70A62F" w14:textId="77777777" w:rsidR="006C08A8" w:rsidRPr="005E2F19" w:rsidRDefault="006C08A8" w:rsidP="006C08A8">
      <w:pPr>
        <w:rPr>
          <w:sz w:val="20"/>
          <w:szCs w:val="20"/>
        </w:rPr>
      </w:pPr>
    </w:p>
    <w:p w14:paraId="4B4CDE1F" w14:textId="77777777" w:rsidR="006C08A8" w:rsidRPr="005E2F19" w:rsidRDefault="006C08A8" w:rsidP="006C08A8">
      <w:pPr>
        <w:rPr>
          <w:sz w:val="20"/>
          <w:szCs w:val="20"/>
        </w:rPr>
      </w:pPr>
    </w:p>
    <w:p w14:paraId="0C57D32B" w14:textId="77777777" w:rsidR="006C08A8" w:rsidRPr="005E2F19" w:rsidRDefault="006C08A8" w:rsidP="006C08A8">
      <w:pPr>
        <w:rPr>
          <w:sz w:val="20"/>
          <w:szCs w:val="20"/>
        </w:rPr>
      </w:pPr>
    </w:p>
    <w:p w14:paraId="409D05F5" w14:textId="77777777" w:rsidR="006C08A8" w:rsidRPr="005E2F19" w:rsidRDefault="006C08A8" w:rsidP="006C08A8">
      <w:pPr>
        <w:rPr>
          <w:sz w:val="20"/>
          <w:szCs w:val="20"/>
        </w:rPr>
      </w:pPr>
    </w:p>
    <w:p w14:paraId="3929BCEB" w14:textId="77777777" w:rsidR="006C08A8" w:rsidRPr="005E2F19" w:rsidRDefault="006C08A8" w:rsidP="006C08A8">
      <w:pPr>
        <w:rPr>
          <w:sz w:val="20"/>
          <w:szCs w:val="20"/>
        </w:rPr>
      </w:pPr>
    </w:p>
    <w:p w14:paraId="125E8B92" w14:textId="62FA58B3" w:rsidR="00E8097C" w:rsidRPr="006C08A8" w:rsidRDefault="00E8097C" w:rsidP="006C08A8">
      <w:pPr>
        <w:jc w:val="right"/>
      </w:pPr>
    </w:p>
    <w:sectPr w:rsidR="00E8097C" w:rsidRPr="006C08A8" w:rsidSect="00712089">
      <w:headerReference w:type="default" r:id="rId17"/>
      <w:footerReference w:type="even" r:id="rId18"/>
      <w:footerReference w:type="defaul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7E98C" w14:textId="77777777" w:rsidR="00672418" w:rsidRDefault="00672418" w:rsidP="006217F3">
      <w:pPr>
        <w:spacing w:after="0" w:line="240" w:lineRule="auto"/>
      </w:pPr>
      <w:r>
        <w:separator/>
      </w:r>
    </w:p>
  </w:endnote>
  <w:endnote w:type="continuationSeparator" w:id="0">
    <w:p w14:paraId="7BBE3C78" w14:textId="77777777" w:rsidR="00672418" w:rsidRDefault="00672418" w:rsidP="00621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8D804" w14:textId="77777777" w:rsidR="00BB155E" w:rsidRDefault="00BB155E" w:rsidP="00BB155E">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8FAF4" w14:textId="547E5D79" w:rsidR="00BB155E" w:rsidRPr="00EF0CB9" w:rsidRDefault="00BB155E" w:rsidP="00BB155E">
    <w:pPr>
      <w:pStyle w:val="Footer"/>
      <w:jc w:val="right"/>
      <w:rPr>
        <w:sz w:val="18"/>
        <w:szCs w:val="18"/>
      </w:rPr>
    </w:pPr>
    <w:r w:rsidRPr="00EF0CB9">
      <w:rPr>
        <w:sz w:val="18"/>
        <w:szCs w:val="18"/>
      </w:rPr>
      <w:t>Office of Research Integrity</w:t>
    </w:r>
  </w:p>
  <w:p w14:paraId="0ED4C373" w14:textId="4400E938" w:rsidR="00BB155E" w:rsidRPr="00EF0CB9" w:rsidRDefault="00BB155E" w:rsidP="00BB155E">
    <w:pPr>
      <w:pStyle w:val="Footer"/>
      <w:jc w:val="right"/>
      <w:rPr>
        <w:sz w:val="18"/>
        <w:szCs w:val="18"/>
      </w:rPr>
    </w:pPr>
    <w:r w:rsidRPr="00EF0CB9">
      <w:rPr>
        <w:sz w:val="18"/>
        <w:szCs w:val="18"/>
      </w:rPr>
      <w:t xml:space="preserve">Version Date: </w:t>
    </w:r>
    <w:r w:rsidR="006C08A8" w:rsidRPr="00EF0CB9">
      <w:rPr>
        <w:sz w:val="18"/>
        <w:szCs w:val="18"/>
      </w:rPr>
      <w:t>April 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6E8BF" w14:textId="77777777" w:rsidR="00672418" w:rsidRDefault="00672418" w:rsidP="006217F3">
      <w:pPr>
        <w:spacing w:after="0" w:line="240" w:lineRule="auto"/>
      </w:pPr>
      <w:r>
        <w:separator/>
      </w:r>
    </w:p>
  </w:footnote>
  <w:footnote w:type="continuationSeparator" w:id="0">
    <w:p w14:paraId="4166E644" w14:textId="77777777" w:rsidR="00672418" w:rsidRDefault="00672418" w:rsidP="00621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06BF7" w14:textId="5C134A25" w:rsidR="000E2C07" w:rsidRPr="00BB155E" w:rsidRDefault="0036011B" w:rsidP="00AE2C57">
    <w:pPr>
      <w:jc w:val="center"/>
    </w:pPr>
    <w:r w:rsidRPr="00BB155E">
      <w:t>IRB Guidance for Significant Risk (SR) &amp; Non-significant Risk (NSR) devices in Research</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BF6"/>
    <w:multiLevelType w:val="hybridMultilevel"/>
    <w:tmpl w:val="0AF23700"/>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805"/>
    <w:multiLevelType w:val="multilevel"/>
    <w:tmpl w:val="6938F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E2AC5"/>
    <w:multiLevelType w:val="hybridMultilevel"/>
    <w:tmpl w:val="7C461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A44A0"/>
    <w:multiLevelType w:val="hybridMultilevel"/>
    <w:tmpl w:val="26A61264"/>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8E3BBE"/>
    <w:multiLevelType w:val="multilevel"/>
    <w:tmpl w:val="2D5A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27605F"/>
    <w:multiLevelType w:val="multilevel"/>
    <w:tmpl w:val="ECD8A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904940"/>
    <w:multiLevelType w:val="hybridMultilevel"/>
    <w:tmpl w:val="61D0F290"/>
    <w:lvl w:ilvl="0" w:tplc="FBA0C0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96F4C"/>
    <w:multiLevelType w:val="hybridMultilevel"/>
    <w:tmpl w:val="EEA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565C3"/>
    <w:multiLevelType w:val="hybridMultilevel"/>
    <w:tmpl w:val="CD4218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D69D3"/>
    <w:multiLevelType w:val="hybridMultilevel"/>
    <w:tmpl w:val="1C58D62E"/>
    <w:lvl w:ilvl="0" w:tplc="FBA0C0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D5DE3"/>
    <w:multiLevelType w:val="hybridMultilevel"/>
    <w:tmpl w:val="0AEE89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A5CB9"/>
    <w:multiLevelType w:val="hybridMultilevel"/>
    <w:tmpl w:val="EFDA1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AC7EB0"/>
    <w:multiLevelType w:val="multilevel"/>
    <w:tmpl w:val="D7B6F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BD4707"/>
    <w:multiLevelType w:val="multilevel"/>
    <w:tmpl w:val="5524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3362AD"/>
    <w:multiLevelType w:val="hybridMultilevel"/>
    <w:tmpl w:val="3A900AEE"/>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FE4003"/>
    <w:multiLevelType w:val="hybridMultilevel"/>
    <w:tmpl w:val="DAB84D14"/>
    <w:lvl w:ilvl="0" w:tplc="6B6CABF6">
      <w:start w:val="1"/>
      <w:numFmt w:val="decimal"/>
      <w:lvlText w:val="%1."/>
      <w:lvlJc w:val="left"/>
      <w:pPr>
        <w:ind w:left="765" w:hanging="360"/>
      </w:pPr>
      <w:rPr>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69EE1730"/>
    <w:multiLevelType w:val="hybridMultilevel"/>
    <w:tmpl w:val="8FBE1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8A80E39"/>
    <w:multiLevelType w:val="multilevel"/>
    <w:tmpl w:val="850E0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993B72"/>
    <w:multiLevelType w:val="hybridMultilevel"/>
    <w:tmpl w:val="A4F6F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820EF2"/>
    <w:multiLevelType w:val="hybridMultilevel"/>
    <w:tmpl w:val="72B2B2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2"/>
  </w:num>
  <w:num w:numId="4">
    <w:abstractNumId w:val="1"/>
  </w:num>
  <w:num w:numId="5">
    <w:abstractNumId w:val="16"/>
  </w:num>
  <w:num w:numId="6">
    <w:abstractNumId w:val="7"/>
  </w:num>
  <w:num w:numId="7">
    <w:abstractNumId w:val="11"/>
  </w:num>
  <w:num w:numId="8">
    <w:abstractNumId w:val="19"/>
  </w:num>
  <w:num w:numId="9">
    <w:abstractNumId w:val="18"/>
  </w:num>
  <w:num w:numId="10">
    <w:abstractNumId w:val="2"/>
  </w:num>
  <w:num w:numId="11">
    <w:abstractNumId w:val="6"/>
  </w:num>
  <w:num w:numId="12">
    <w:abstractNumId w:val="5"/>
  </w:num>
  <w:num w:numId="13">
    <w:abstractNumId w:val="17"/>
  </w:num>
  <w:num w:numId="14">
    <w:abstractNumId w:val="9"/>
  </w:num>
  <w:num w:numId="15">
    <w:abstractNumId w:val="14"/>
  </w:num>
  <w:num w:numId="16">
    <w:abstractNumId w:val="4"/>
    <w:lvlOverride w:ilvl="0">
      <w:lvl w:ilvl="0">
        <w:start w:val="1"/>
        <w:numFmt w:val="decimal"/>
        <w:lvlText w:val="%1."/>
        <w:lvlJc w:val="left"/>
        <w:pPr>
          <w:ind w:left="720" w:hanging="360"/>
        </w:pPr>
        <w:rPr>
          <w:b/>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7">
    <w:abstractNumId w:val="8"/>
  </w:num>
  <w:num w:numId="18">
    <w:abstractNumId w:val="10"/>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wMTczNTEwNTEzMDNW0lEKTi0uzszPAykwrQUA+nQysiwAAAA="/>
  </w:docVars>
  <w:rsids>
    <w:rsidRoot w:val="008275DC"/>
    <w:rsid w:val="00040B80"/>
    <w:rsid w:val="000460E2"/>
    <w:rsid w:val="000E2C07"/>
    <w:rsid w:val="001019E8"/>
    <w:rsid w:val="00130A38"/>
    <w:rsid w:val="001438A1"/>
    <w:rsid w:val="001909D5"/>
    <w:rsid w:val="001A18D7"/>
    <w:rsid w:val="001A5A2F"/>
    <w:rsid w:val="001B2B69"/>
    <w:rsid w:val="002142ED"/>
    <w:rsid w:val="00241A12"/>
    <w:rsid w:val="0025509B"/>
    <w:rsid w:val="00296AC6"/>
    <w:rsid w:val="002B7F6A"/>
    <w:rsid w:val="00313F27"/>
    <w:rsid w:val="00333C6E"/>
    <w:rsid w:val="0036011B"/>
    <w:rsid w:val="00360E68"/>
    <w:rsid w:val="003F7837"/>
    <w:rsid w:val="00405310"/>
    <w:rsid w:val="004614C5"/>
    <w:rsid w:val="00465E72"/>
    <w:rsid w:val="0047303F"/>
    <w:rsid w:val="004852B7"/>
    <w:rsid w:val="004C519B"/>
    <w:rsid w:val="004D495B"/>
    <w:rsid w:val="004F29D5"/>
    <w:rsid w:val="005142CD"/>
    <w:rsid w:val="005A1C69"/>
    <w:rsid w:val="005B4DA9"/>
    <w:rsid w:val="005E2DDB"/>
    <w:rsid w:val="005E2F19"/>
    <w:rsid w:val="005E74B6"/>
    <w:rsid w:val="006217F3"/>
    <w:rsid w:val="00625B91"/>
    <w:rsid w:val="00626345"/>
    <w:rsid w:val="0062708F"/>
    <w:rsid w:val="00672418"/>
    <w:rsid w:val="006A1807"/>
    <w:rsid w:val="006C08A8"/>
    <w:rsid w:val="00712089"/>
    <w:rsid w:val="00716E04"/>
    <w:rsid w:val="007320B0"/>
    <w:rsid w:val="00797E69"/>
    <w:rsid w:val="007A6585"/>
    <w:rsid w:val="007E3BCC"/>
    <w:rsid w:val="0082499A"/>
    <w:rsid w:val="008275DC"/>
    <w:rsid w:val="008300AB"/>
    <w:rsid w:val="00840641"/>
    <w:rsid w:val="00895F6C"/>
    <w:rsid w:val="008A205C"/>
    <w:rsid w:val="00913927"/>
    <w:rsid w:val="00924237"/>
    <w:rsid w:val="00927785"/>
    <w:rsid w:val="00971A52"/>
    <w:rsid w:val="00976E65"/>
    <w:rsid w:val="00994039"/>
    <w:rsid w:val="00994755"/>
    <w:rsid w:val="009F2F66"/>
    <w:rsid w:val="00A956D8"/>
    <w:rsid w:val="00AA73F6"/>
    <w:rsid w:val="00AE2358"/>
    <w:rsid w:val="00AE2C57"/>
    <w:rsid w:val="00AE6A05"/>
    <w:rsid w:val="00B01140"/>
    <w:rsid w:val="00B65F9B"/>
    <w:rsid w:val="00BB155E"/>
    <w:rsid w:val="00C12588"/>
    <w:rsid w:val="00C20C40"/>
    <w:rsid w:val="00C8057F"/>
    <w:rsid w:val="00C80F53"/>
    <w:rsid w:val="00CA48E4"/>
    <w:rsid w:val="00CA7877"/>
    <w:rsid w:val="00CD7753"/>
    <w:rsid w:val="00CE2506"/>
    <w:rsid w:val="00D56BCC"/>
    <w:rsid w:val="00D861B7"/>
    <w:rsid w:val="00E8097C"/>
    <w:rsid w:val="00ED1EB5"/>
    <w:rsid w:val="00EE2EDA"/>
    <w:rsid w:val="00EF0CB9"/>
    <w:rsid w:val="00F8611D"/>
    <w:rsid w:val="00FD2197"/>
    <w:rsid w:val="00FE4745"/>
    <w:rsid w:val="00FF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8DB23"/>
  <w15:chartTrackingRefBased/>
  <w15:docId w15:val="{707C5741-B6C6-499A-99B2-AB55B303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F19"/>
  </w:style>
  <w:style w:type="paragraph" w:styleId="Heading3">
    <w:name w:val="heading 3"/>
    <w:basedOn w:val="Normal"/>
    <w:next w:val="Normal"/>
    <w:link w:val="Heading3Char"/>
    <w:uiPriority w:val="9"/>
    <w:semiHidden/>
    <w:unhideWhenUsed/>
    <w:qFormat/>
    <w:rsid w:val="000E2C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17F3"/>
    <w:rPr>
      <w:color w:val="0563C1" w:themeColor="hyperlink"/>
      <w:u w:val="single"/>
    </w:rPr>
  </w:style>
  <w:style w:type="character" w:customStyle="1" w:styleId="UnresolvedMention">
    <w:name w:val="Unresolved Mention"/>
    <w:basedOn w:val="DefaultParagraphFont"/>
    <w:uiPriority w:val="99"/>
    <w:semiHidden/>
    <w:unhideWhenUsed/>
    <w:rsid w:val="006217F3"/>
    <w:rPr>
      <w:color w:val="808080"/>
      <w:shd w:val="clear" w:color="auto" w:fill="E6E6E6"/>
    </w:rPr>
  </w:style>
  <w:style w:type="paragraph" w:styleId="Header">
    <w:name w:val="header"/>
    <w:basedOn w:val="Normal"/>
    <w:link w:val="HeaderChar"/>
    <w:uiPriority w:val="99"/>
    <w:unhideWhenUsed/>
    <w:rsid w:val="00621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7F3"/>
  </w:style>
  <w:style w:type="paragraph" w:styleId="Footer">
    <w:name w:val="footer"/>
    <w:basedOn w:val="Normal"/>
    <w:link w:val="FooterChar"/>
    <w:uiPriority w:val="99"/>
    <w:unhideWhenUsed/>
    <w:rsid w:val="00621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7F3"/>
  </w:style>
  <w:style w:type="paragraph" w:styleId="ListParagraph">
    <w:name w:val="List Paragraph"/>
    <w:basedOn w:val="Normal"/>
    <w:uiPriority w:val="34"/>
    <w:qFormat/>
    <w:rsid w:val="000E2C07"/>
    <w:pPr>
      <w:ind w:left="720"/>
      <w:contextualSpacing/>
    </w:pPr>
  </w:style>
  <w:style w:type="character" w:customStyle="1" w:styleId="Heading3Char">
    <w:name w:val="Heading 3 Char"/>
    <w:basedOn w:val="DefaultParagraphFont"/>
    <w:link w:val="Heading3"/>
    <w:uiPriority w:val="9"/>
    <w:semiHidden/>
    <w:rsid w:val="000E2C07"/>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link w:val="SubtitleChar"/>
    <w:uiPriority w:val="11"/>
    <w:qFormat/>
    <w:rsid w:val="00333C6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33C6E"/>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333C6E"/>
    <w:rPr>
      <w:sz w:val="16"/>
      <w:szCs w:val="16"/>
    </w:rPr>
  </w:style>
  <w:style w:type="paragraph" w:styleId="CommentText">
    <w:name w:val="annotation text"/>
    <w:basedOn w:val="Normal"/>
    <w:link w:val="CommentTextChar"/>
    <w:uiPriority w:val="99"/>
    <w:semiHidden/>
    <w:unhideWhenUsed/>
    <w:rsid w:val="00333C6E"/>
    <w:pPr>
      <w:spacing w:line="240" w:lineRule="auto"/>
    </w:pPr>
    <w:rPr>
      <w:sz w:val="20"/>
      <w:szCs w:val="20"/>
    </w:rPr>
  </w:style>
  <w:style w:type="character" w:customStyle="1" w:styleId="CommentTextChar">
    <w:name w:val="Comment Text Char"/>
    <w:basedOn w:val="DefaultParagraphFont"/>
    <w:link w:val="CommentText"/>
    <w:uiPriority w:val="99"/>
    <w:semiHidden/>
    <w:rsid w:val="00333C6E"/>
    <w:rPr>
      <w:sz w:val="20"/>
      <w:szCs w:val="20"/>
    </w:rPr>
  </w:style>
  <w:style w:type="paragraph" w:styleId="CommentSubject">
    <w:name w:val="annotation subject"/>
    <w:basedOn w:val="CommentText"/>
    <w:next w:val="CommentText"/>
    <w:link w:val="CommentSubjectChar"/>
    <w:uiPriority w:val="99"/>
    <w:semiHidden/>
    <w:unhideWhenUsed/>
    <w:rsid w:val="00333C6E"/>
    <w:rPr>
      <w:b/>
      <w:bCs/>
    </w:rPr>
  </w:style>
  <w:style w:type="character" w:customStyle="1" w:styleId="CommentSubjectChar">
    <w:name w:val="Comment Subject Char"/>
    <w:basedOn w:val="CommentTextChar"/>
    <w:link w:val="CommentSubject"/>
    <w:uiPriority w:val="99"/>
    <w:semiHidden/>
    <w:rsid w:val="00333C6E"/>
    <w:rPr>
      <w:b/>
      <w:bCs/>
      <w:sz w:val="20"/>
      <w:szCs w:val="20"/>
    </w:rPr>
  </w:style>
  <w:style w:type="paragraph" w:styleId="BalloonText">
    <w:name w:val="Balloon Text"/>
    <w:basedOn w:val="Normal"/>
    <w:link w:val="BalloonTextChar"/>
    <w:uiPriority w:val="99"/>
    <w:semiHidden/>
    <w:unhideWhenUsed/>
    <w:rsid w:val="00333C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C6E"/>
    <w:rPr>
      <w:rFonts w:ascii="Segoe UI" w:hAnsi="Segoe UI" w:cs="Segoe UI"/>
      <w:sz w:val="18"/>
      <w:szCs w:val="18"/>
    </w:rPr>
  </w:style>
  <w:style w:type="table" w:styleId="TableGrid">
    <w:name w:val="Table Grid"/>
    <w:basedOn w:val="TableNormal"/>
    <w:uiPriority w:val="39"/>
    <w:rsid w:val="00101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611D"/>
    <w:pPr>
      <w:spacing w:after="0" w:line="240" w:lineRule="auto"/>
    </w:pPr>
  </w:style>
  <w:style w:type="character" w:styleId="FollowedHyperlink">
    <w:name w:val="FollowedHyperlink"/>
    <w:basedOn w:val="DefaultParagraphFont"/>
    <w:uiPriority w:val="99"/>
    <w:semiHidden/>
    <w:unhideWhenUsed/>
    <w:rsid w:val="005E74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52959">
      <w:bodyDiv w:val="1"/>
      <w:marLeft w:val="0"/>
      <w:marRight w:val="0"/>
      <w:marTop w:val="0"/>
      <w:marBottom w:val="0"/>
      <w:divBdr>
        <w:top w:val="none" w:sz="0" w:space="0" w:color="auto"/>
        <w:left w:val="none" w:sz="0" w:space="0" w:color="auto"/>
        <w:bottom w:val="none" w:sz="0" w:space="0" w:color="auto"/>
        <w:right w:val="none" w:sz="0" w:space="0" w:color="auto"/>
      </w:divBdr>
    </w:div>
    <w:div w:id="368994563">
      <w:bodyDiv w:val="1"/>
      <w:marLeft w:val="0"/>
      <w:marRight w:val="0"/>
      <w:marTop w:val="0"/>
      <w:marBottom w:val="0"/>
      <w:divBdr>
        <w:top w:val="none" w:sz="0" w:space="0" w:color="auto"/>
        <w:left w:val="none" w:sz="0" w:space="0" w:color="auto"/>
        <w:bottom w:val="none" w:sz="0" w:space="0" w:color="auto"/>
        <w:right w:val="none" w:sz="0" w:space="0" w:color="auto"/>
      </w:divBdr>
    </w:div>
    <w:div w:id="413085514">
      <w:bodyDiv w:val="1"/>
      <w:marLeft w:val="0"/>
      <w:marRight w:val="0"/>
      <w:marTop w:val="0"/>
      <w:marBottom w:val="0"/>
      <w:divBdr>
        <w:top w:val="none" w:sz="0" w:space="0" w:color="auto"/>
        <w:left w:val="none" w:sz="0" w:space="0" w:color="auto"/>
        <w:bottom w:val="none" w:sz="0" w:space="0" w:color="auto"/>
        <w:right w:val="none" w:sz="0" w:space="0" w:color="auto"/>
      </w:divBdr>
    </w:div>
    <w:div w:id="482742482">
      <w:bodyDiv w:val="1"/>
      <w:marLeft w:val="0"/>
      <w:marRight w:val="0"/>
      <w:marTop w:val="0"/>
      <w:marBottom w:val="0"/>
      <w:divBdr>
        <w:top w:val="none" w:sz="0" w:space="0" w:color="auto"/>
        <w:left w:val="none" w:sz="0" w:space="0" w:color="auto"/>
        <w:bottom w:val="none" w:sz="0" w:space="0" w:color="auto"/>
        <w:right w:val="none" w:sz="0" w:space="0" w:color="auto"/>
      </w:divBdr>
    </w:div>
    <w:div w:id="494301438">
      <w:bodyDiv w:val="1"/>
      <w:marLeft w:val="0"/>
      <w:marRight w:val="0"/>
      <w:marTop w:val="0"/>
      <w:marBottom w:val="0"/>
      <w:divBdr>
        <w:top w:val="none" w:sz="0" w:space="0" w:color="auto"/>
        <w:left w:val="none" w:sz="0" w:space="0" w:color="auto"/>
        <w:bottom w:val="none" w:sz="0" w:space="0" w:color="auto"/>
        <w:right w:val="none" w:sz="0" w:space="0" w:color="auto"/>
      </w:divBdr>
    </w:div>
    <w:div w:id="521210785">
      <w:bodyDiv w:val="1"/>
      <w:marLeft w:val="0"/>
      <w:marRight w:val="0"/>
      <w:marTop w:val="0"/>
      <w:marBottom w:val="0"/>
      <w:divBdr>
        <w:top w:val="none" w:sz="0" w:space="0" w:color="auto"/>
        <w:left w:val="none" w:sz="0" w:space="0" w:color="auto"/>
        <w:bottom w:val="none" w:sz="0" w:space="0" w:color="auto"/>
        <w:right w:val="none" w:sz="0" w:space="0" w:color="auto"/>
      </w:divBdr>
    </w:div>
    <w:div w:id="558900594">
      <w:bodyDiv w:val="1"/>
      <w:marLeft w:val="0"/>
      <w:marRight w:val="0"/>
      <w:marTop w:val="0"/>
      <w:marBottom w:val="0"/>
      <w:divBdr>
        <w:top w:val="none" w:sz="0" w:space="0" w:color="auto"/>
        <w:left w:val="none" w:sz="0" w:space="0" w:color="auto"/>
        <w:bottom w:val="none" w:sz="0" w:space="0" w:color="auto"/>
        <w:right w:val="none" w:sz="0" w:space="0" w:color="auto"/>
      </w:divBdr>
    </w:div>
    <w:div w:id="569734719">
      <w:bodyDiv w:val="1"/>
      <w:marLeft w:val="0"/>
      <w:marRight w:val="0"/>
      <w:marTop w:val="0"/>
      <w:marBottom w:val="0"/>
      <w:divBdr>
        <w:top w:val="none" w:sz="0" w:space="0" w:color="auto"/>
        <w:left w:val="none" w:sz="0" w:space="0" w:color="auto"/>
        <w:bottom w:val="none" w:sz="0" w:space="0" w:color="auto"/>
        <w:right w:val="none" w:sz="0" w:space="0" w:color="auto"/>
      </w:divBdr>
    </w:div>
    <w:div w:id="645595639">
      <w:bodyDiv w:val="1"/>
      <w:marLeft w:val="0"/>
      <w:marRight w:val="0"/>
      <w:marTop w:val="0"/>
      <w:marBottom w:val="0"/>
      <w:divBdr>
        <w:top w:val="none" w:sz="0" w:space="0" w:color="auto"/>
        <w:left w:val="none" w:sz="0" w:space="0" w:color="auto"/>
        <w:bottom w:val="none" w:sz="0" w:space="0" w:color="auto"/>
        <w:right w:val="none" w:sz="0" w:space="0" w:color="auto"/>
      </w:divBdr>
      <w:divsChild>
        <w:div w:id="86466517">
          <w:marLeft w:val="0"/>
          <w:marRight w:val="0"/>
          <w:marTop w:val="0"/>
          <w:marBottom w:val="0"/>
          <w:divBdr>
            <w:top w:val="none" w:sz="0" w:space="0" w:color="auto"/>
            <w:left w:val="none" w:sz="0" w:space="0" w:color="auto"/>
            <w:bottom w:val="none" w:sz="0" w:space="0" w:color="auto"/>
            <w:right w:val="none" w:sz="0" w:space="0" w:color="auto"/>
          </w:divBdr>
        </w:div>
      </w:divsChild>
    </w:div>
    <w:div w:id="680275651">
      <w:bodyDiv w:val="1"/>
      <w:marLeft w:val="0"/>
      <w:marRight w:val="0"/>
      <w:marTop w:val="0"/>
      <w:marBottom w:val="0"/>
      <w:divBdr>
        <w:top w:val="none" w:sz="0" w:space="0" w:color="auto"/>
        <w:left w:val="none" w:sz="0" w:space="0" w:color="auto"/>
        <w:bottom w:val="none" w:sz="0" w:space="0" w:color="auto"/>
        <w:right w:val="none" w:sz="0" w:space="0" w:color="auto"/>
      </w:divBdr>
      <w:divsChild>
        <w:div w:id="581648575">
          <w:marLeft w:val="0"/>
          <w:marRight w:val="0"/>
          <w:marTop w:val="0"/>
          <w:marBottom w:val="0"/>
          <w:divBdr>
            <w:top w:val="none" w:sz="0" w:space="0" w:color="auto"/>
            <w:left w:val="none" w:sz="0" w:space="0" w:color="auto"/>
            <w:bottom w:val="none" w:sz="0" w:space="0" w:color="auto"/>
            <w:right w:val="none" w:sz="0" w:space="0" w:color="auto"/>
          </w:divBdr>
        </w:div>
      </w:divsChild>
    </w:div>
    <w:div w:id="1010718797">
      <w:bodyDiv w:val="1"/>
      <w:marLeft w:val="0"/>
      <w:marRight w:val="0"/>
      <w:marTop w:val="0"/>
      <w:marBottom w:val="0"/>
      <w:divBdr>
        <w:top w:val="none" w:sz="0" w:space="0" w:color="auto"/>
        <w:left w:val="none" w:sz="0" w:space="0" w:color="auto"/>
        <w:bottom w:val="none" w:sz="0" w:space="0" w:color="auto"/>
        <w:right w:val="none" w:sz="0" w:space="0" w:color="auto"/>
      </w:divBdr>
    </w:div>
    <w:div w:id="1273710009">
      <w:bodyDiv w:val="1"/>
      <w:marLeft w:val="0"/>
      <w:marRight w:val="0"/>
      <w:marTop w:val="0"/>
      <w:marBottom w:val="0"/>
      <w:divBdr>
        <w:top w:val="none" w:sz="0" w:space="0" w:color="auto"/>
        <w:left w:val="none" w:sz="0" w:space="0" w:color="auto"/>
        <w:bottom w:val="none" w:sz="0" w:space="0" w:color="auto"/>
        <w:right w:val="none" w:sz="0" w:space="0" w:color="auto"/>
      </w:divBdr>
    </w:div>
    <w:div w:id="1287279591">
      <w:bodyDiv w:val="1"/>
      <w:marLeft w:val="0"/>
      <w:marRight w:val="0"/>
      <w:marTop w:val="0"/>
      <w:marBottom w:val="0"/>
      <w:divBdr>
        <w:top w:val="none" w:sz="0" w:space="0" w:color="auto"/>
        <w:left w:val="none" w:sz="0" w:space="0" w:color="auto"/>
        <w:bottom w:val="none" w:sz="0" w:space="0" w:color="auto"/>
        <w:right w:val="none" w:sz="0" w:space="0" w:color="auto"/>
      </w:divBdr>
    </w:div>
    <w:div w:id="1309048129">
      <w:bodyDiv w:val="1"/>
      <w:marLeft w:val="0"/>
      <w:marRight w:val="0"/>
      <w:marTop w:val="0"/>
      <w:marBottom w:val="0"/>
      <w:divBdr>
        <w:top w:val="none" w:sz="0" w:space="0" w:color="auto"/>
        <w:left w:val="none" w:sz="0" w:space="0" w:color="auto"/>
        <w:bottom w:val="none" w:sz="0" w:space="0" w:color="auto"/>
        <w:right w:val="none" w:sz="0" w:space="0" w:color="auto"/>
      </w:divBdr>
    </w:div>
    <w:div w:id="1504738178">
      <w:bodyDiv w:val="1"/>
      <w:marLeft w:val="0"/>
      <w:marRight w:val="0"/>
      <w:marTop w:val="0"/>
      <w:marBottom w:val="0"/>
      <w:divBdr>
        <w:top w:val="none" w:sz="0" w:space="0" w:color="auto"/>
        <w:left w:val="none" w:sz="0" w:space="0" w:color="auto"/>
        <w:bottom w:val="none" w:sz="0" w:space="0" w:color="auto"/>
        <w:right w:val="none" w:sz="0" w:space="0" w:color="auto"/>
      </w:divBdr>
    </w:div>
    <w:div w:id="199887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MedicalDevices/" TargetMode="External"/><Relationship Id="rId13" Type="http://schemas.openxmlformats.org/officeDocument/2006/relationships/hyperlink" Target="http://www.accessdata.fda.gov/scripts/cdrh/cfdocs/cfcfr/CFRSearch.cfm?CFRPart=81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rb.ucsf.edu/node/72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da.gov/downloads/RegulatoryInformation/Guidances/UCM126418.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downloads/MedicalDevices/DeviceRegulationandGuidance/GuidanceDocuments/UCM263366.pdf" TargetMode="External"/><Relationship Id="rId5" Type="http://schemas.openxmlformats.org/officeDocument/2006/relationships/webSettings" Target="webSettings.xml"/><Relationship Id="rId15" Type="http://schemas.openxmlformats.org/officeDocument/2006/relationships/hyperlink" Target="http://www.accessdata.fda.gov/scripts/cdrh/cfdocs/cfcfr/CFRSearch.cfm?fr=812.2" TargetMode="External"/><Relationship Id="rId10" Type="http://schemas.openxmlformats.org/officeDocument/2006/relationships/hyperlink" Target="https://www.fda.gov/downloads/medicaldevices/deviceregulationandguidance/guidancedocuments/ucm429674.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fda.gov/AboutFDA/Transparency/Basics/ucm211822.htm" TargetMode="External"/><Relationship Id="rId14" Type="http://schemas.openxmlformats.org/officeDocument/2006/relationships/hyperlink" Target="https://www.accessdata.fda.gov/scripts/cdrh/cfdocs/cfcfr/CFRSearch.cfm?fr=8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583F4-B644-4A69-BD03-D5F16B621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Kathryn Pham</dc:creator>
  <cp:keywords/>
  <dc:description/>
  <cp:lastModifiedBy>Ian Naftzger</cp:lastModifiedBy>
  <cp:revision>2</cp:revision>
  <dcterms:created xsi:type="dcterms:W3CDTF">2019-04-19T15:52:00Z</dcterms:created>
  <dcterms:modified xsi:type="dcterms:W3CDTF">2019-04-19T15:52:00Z</dcterms:modified>
</cp:coreProperties>
</file>